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5FF1" w14:textId="77777777" w:rsidR="0018393A" w:rsidRDefault="00D55833">
      <w:pPr>
        <w:spacing w:before="240" w:after="240"/>
        <w:jc w:val="center"/>
        <w:rPr>
          <w:b/>
          <w:bCs/>
          <w:sz w:val="40"/>
          <w:szCs w:val="40"/>
        </w:rPr>
      </w:pPr>
      <w:r>
        <w:rPr>
          <w:b/>
          <w:bCs/>
          <w:sz w:val="40"/>
          <w:szCs w:val="40"/>
        </w:rPr>
        <w:t xml:space="preserve">Week 3: Asset Management </w:t>
      </w:r>
      <w:bookmarkStart w:id="0" w:name="_Int_hPy44mOR"/>
      <w:r>
        <w:rPr>
          <w:b/>
          <w:bCs/>
          <w:sz w:val="40"/>
          <w:szCs w:val="40"/>
        </w:rPr>
        <w:t>Certificates (</w:t>
      </w:r>
      <w:bookmarkEnd w:id="0"/>
      <w:r>
        <w:rPr>
          <w:b/>
          <w:bCs/>
          <w:sz w:val="40"/>
          <w:szCs w:val="40"/>
        </w:rPr>
        <w:t>AMC) and Fundraising</w:t>
      </w:r>
    </w:p>
    <w:p w14:paraId="0245AB06" w14:textId="77777777" w:rsidR="0018393A" w:rsidRDefault="00746C39">
      <w:pPr>
        <w:spacing w:before="240" w:after="240"/>
        <w:jc w:val="right"/>
        <w:rPr>
          <w:b/>
          <w:bCs/>
        </w:rPr>
      </w:pPr>
      <w:r>
        <w:rPr>
          <w:noProof/>
        </w:rPr>
      </w:r>
      <w:r w:rsidR="00746C39">
        <w:rPr>
          <w:noProof/>
        </w:rPr>
        <w:pict w14:anchorId="65B94161">
          <v:rect id="_x0000_i1025" style="width:0;height:1.5pt" o:hralign="center" o:hrstd="t" o:hr="t" fillcolor="#a0a0a0" stroked="f"/>
        </w:pict>
      </w:r>
      <w:r w:rsidR="009D1E24">
        <w:rPr>
          <w:rFonts w:ascii="Courier New" w:eastAsia="Courier New" w:hAnsi="Courier New" w:cs="Courier New"/>
          <w:sz w:val="18"/>
          <w:szCs w:val="18"/>
        </w:rPr>
        <w:t xml:space="preserve">CHAN CHEUK </w:t>
      </w:r>
      <w:bookmarkStart w:id="1" w:name="_Int_hwao5oY1"/>
      <w:r w:rsidR="009D1E24">
        <w:rPr>
          <w:rFonts w:ascii="Courier New" w:eastAsia="Courier New" w:hAnsi="Courier New" w:cs="Courier New"/>
          <w:sz w:val="18"/>
          <w:szCs w:val="18"/>
        </w:rPr>
        <w:t>HIM (</w:t>
      </w:r>
      <w:bookmarkStart w:id="2" w:name="_Int_5FElY6CD"/>
      <w:bookmarkEnd w:id="1"/>
      <w:r w:rsidR="009D1E24">
        <w:rPr>
          <w:rFonts w:ascii="Courier New" w:eastAsia="Courier New" w:hAnsi="Courier New" w:cs="Courier New"/>
          <w:sz w:val="18"/>
          <w:szCs w:val="18"/>
        </w:rPr>
        <w:t>Oscar)</w:t>
      </w:r>
      <w:bookmarkEnd w:id="2"/>
      <w:r w:rsidR="009D1E24">
        <w:rPr>
          <w:rFonts w:ascii="Courier New" w:eastAsia="Courier New" w:hAnsi="Courier New" w:cs="Courier New"/>
          <w:sz w:val="18"/>
          <w:szCs w:val="18"/>
        </w:rPr>
        <w:t xml:space="preserve">   </w:t>
      </w:r>
    </w:p>
    <w:p w14:paraId="45BEAC11" w14:textId="77777777" w:rsidR="0018393A" w:rsidRDefault="0018393A">
      <w:pPr>
        <w:pStyle w:val="Heading3"/>
        <w:keepNext w:val="0"/>
        <w:keepLines w:val="0"/>
        <w:spacing w:before="280"/>
        <w:rPr>
          <w:b/>
          <w:bCs/>
          <w:color w:val="000000"/>
          <w:sz w:val="26"/>
          <w:szCs w:val="26"/>
        </w:rPr>
      </w:pPr>
      <w:bookmarkStart w:id="3" w:name="_mo6bfs89gz1e" w:colFirst="0" w:colLast="0"/>
      <w:bookmarkEnd w:id="3"/>
    </w:p>
    <w:p w14:paraId="3EDBEC6F" w14:textId="77777777" w:rsidR="0018393A" w:rsidRDefault="0018393A">
      <w:pPr>
        <w:pStyle w:val="Heading3"/>
        <w:keepNext w:val="0"/>
        <w:keepLines w:val="0"/>
        <w:spacing w:before="280"/>
        <w:rPr>
          <w:b/>
          <w:bCs/>
          <w:color w:val="000000"/>
          <w:sz w:val="26"/>
          <w:szCs w:val="26"/>
        </w:rPr>
      </w:pPr>
      <w:bookmarkStart w:id="4" w:name="_849j5veexfc6" w:colFirst="0" w:colLast="0"/>
      <w:bookmarkEnd w:id="4"/>
    </w:p>
    <w:p w14:paraId="160A2A28" w14:textId="77777777" w:rsidR="0018393A" w:rsidRDefault="00D55833">
      <w:pPr>
        <w:pStyle w:val="Heading3"/>
        <w:keepNext w:val="0"/>
        <w:keepLines w:val="0"/>
        <w:spacing w:before="280"/>
        <w:rPr>
          <w:b/>
          <w:bCs/>
          <w:color w:val="000000"/>
          <w:sz w:val="26"/>
          <w:szCs w:val="26"/>
        </w:rPr>
      </w:pPr>
      <w:bookmarkStart w:id="5" w:name="_3288ybbrnydk" w:colFirst="0" w:colLast="0"/>
      <w:bookmarkEnd w:id="5"/>
      <w:r>
        <w:rPr>
          <w:b/>
          <w:bCs/>
          <w:color w:val="000000"/>
          <w:sz w:val="26"/>
          <w:szCs w:val="26"/>
        </w:rPr>
        <w:t xml:space="preserve">Task 1: AMC Research Assignment </w:t>
      </w:r>
    </w:p>
    <w:p w14:paraId="1EFFED1E" w14:textId="77777777" w:rsidR="0018393A" w:rsidRDefault="0018393A"/>
    <w:p w14:paraId="5B384E4C" w14:textId="77777777" w:rsidR="0018393A" w:rsidRDefault="00D55833">
      <w:pPr>
        <w:spacing w:before="240" w:after="240"/>
      </w:pPr>
      <w:r>
        <w:t xml:space="preserve">Active Managed </w:t>
      </w:r>
      <w:bookmarkStart w:id="6" w:name="_Int_mrlr97At"/>
      <w:r>
        <w:t>Certificates (</w:t>
      </w:r>
      <w:bookmarkEnd w:id="6"/>
      <w:r>
        <w:t xml:space="preserve">AMCs) are structured financial instruments that package an actively managed investment strategy into a tradable security with its own </w:t>
      </w:r>
      <w:bookmarkStart w:id="7" w:name="_Int_6vGkeSYD"/>
      <w:r>
        <w:t>ISIN (</w:t>
      </w:r>
      <w:bookmarkEnd w:id="7"/>
      <w:r>
        <w:t>International Securities Identification Number</w:t>
      </w:r>
      <w:bookmarkStart w:id="8" w:name="_Int_lHtJQ0TD"/>
      <w:r>
        <w:t>).</w:t>
      </w:r>
      <w:bookmarkEnd w:id="8"/>
      <w:r>
        <w:t xml:space="preserve"> Unlike passive trackers or ETFs, AMCs allow for dynamic portfolio adjustment by the manager within a predefined mandate without pooling </w:t>
      </w:r>
      <w:bookmarkStart w:id="9" w:name="_Int_lz7huGe2"/>
      <w:r>
        <w:t>funds.</w:t>
      </w:r>
      <w:bookmarkEnd w:id="9"/>
      <w:r>
        <w:t xml:space="preserve"> Each investor holds a separate certificate issued by banks or securities dealers such as debt </w:t>
      </w:r>
      <w:bookmarkStart w:id="10" w:name="_Int_aLvXnxXN"/>
      <w:r>
        <w:t>securities.</w:t>
      </w:r>
      <w:bookmarkEnd w:id="10"/>
      <w:r>
        <w:t xml:space="preserve"> AMCs are often listed on exchanges like the Johannesburg Stock </w:t>
      </w:r>
      <w:bookmarkStart w:id="11" w:name="_Int_4m5bNkNz"/>
      <w:r>
        <w:t>Exchange (</w:t>
      </w:r>
      <w:bookmarkEnd w:id="11"/>
      <w:r>
        <w:t xml:space="preserve">JSE) or SIX Swiss Exchange providing liquidity and </w:t>
      </w:r>
      <w:bookmarkStart w:id="12" w:name="_Int_Pcdhs5Rh"/>
      <w:r>
        <w:t>transparency.</w:t>
      </w:r>
      <w:bookmarkEnd w:id="12"/>
      <w:r>
        <w:t xml:space="preserve"> They connect traditional asset management and structured products to offer flexibility for strategies like dividend-focused or ESG-themed </w:t>
      </w:r>
      <w:bookmarkStart w:id="13" w:name="_Int_tTZTuyi5"/>
      <w:r>
        <w:t>portfolios.</w:t>
      </w:r>
      <w:bookmarkEnd w:id="13"/>
    </w:p>
    <w:p w14:paraId="1A208E81" w14:textId="77777777" w:rsidR="0018393A" w:rsidRDefault="0018393A">
      <w:pPr>
        <w:spacing w:before="240" w:after="240"/>
      </w:pPr>
    </w:p>
    <w:p w14:paraId="6E07BCFB" w14:textId="77777777" w:rsidR="0018393A" w:rsidRDefault="00D55833">
      <w:pPr>
        <w:spacing w:before="240" w:after="240"/>
      </w:pPr>
      <w:r>
        <w:t xml:space="preserve">In market position, AMCs are quite cost-efficient and have customizable alternatives to mutual funds or hedge </w:t>
      </w:r>
      <w:bookmarkStart w:id="14" w:name="_Int_USmHF9RZ"/>
      <w:r>
        <w:t>funds.</w:t>
      </w:r>
      <w:bookmarkEnd w:id="14"/>
      <w:r>
        <w:t xml:space="preserve"> This is appealing to professional investors seeking active management without high setup </w:t>
      </w:r>
      <w:bookmarkStart w:id="15" w:name="_Int_gF6TH2RC"/>
      <w:r>
        <w:t>costs.</w:t>
      </w:r>
      <w:bookmarkEnd w:id="15"/>
      <w:r>
        <w:t xml:space="preserve"> In 2025-2026, amid rising interest in tokenized assets projected $16T market per World Economic </w:t>
      </w:r>
      <w:bookmarkStart w:id="16" w:name="_Int_YPqZ7JF7"/>
      <w:r>
        <w:t>Forum.</w:t>
      </w:r>
      <w:bookmarkEnd w:id="16"/>
      <w:r>
        <w:t xml:space="preserve"> As AMCs are evolving toward blockchain integration for enhanced liquidity, the demand is so strong in Europe and Asia due to regulations like MiCA, with growth driven by personalized strategies such as high-yield amid </w:t>
      </w:r>
      <w:bookmarkStart w:id="17" w:name="_Int_sWAWlWp8"/>
      <w:r>
        <w:t>inflation.</w:t>
      </w:r>
      <w:bookmarkEnd w:id="17"/>
      <w:r>
        <w:t xml:space="preserve"> Although AMCs have </w:t>
      </w:r>
      <w:bookmarkStart w:id="18" w:name="_Int_RdGZYB8m"/>
      <w:r>
        <w:t>a “</w:t>
      </w:r>
      <w:bookmarkEnd w:id="18"/>
      <w:r>
        <w:t xml:space="preserve">strong growth” in popularity for their flexibility especially among intermediaries, they face competition from tokenized RWAs, which offer better fractionalization and real-time NAV </w:t>
      </w:r>
      <w:bookmarkStart w:id="19" w:name="_Int_cE2WVvFQ"/>
      <w:r>
        <w:t>updates.</w:t>
      </w:r>
      <w:bookmarkEnd w:id="19"/>
      <w:r>
        <w:t xml:space="preserve"> </w:t>
      </w:r>
    </w:p>
    <w:p w14:paraId="39E9EC62" w14:textId="77777777" w:rsidR="0018393A" w:rsidRDefault="00D55833">
      <w:pPr>
        <w:pStyle w:val="Heading4"/>
        <w:keepNext w:val="0"/>
        <w:keepLines w:val="0"/>
        <w:spacing w:before="240" w:after="40"/>
        <w:rPr>
          <w:b/>
          <w:bCs/>
          <w:color w:val="000000"/>
        </w:rPr>
      </w:pPr>
      <w:bookmarkStart w:id="20" w:name="_6t3ypcjtnxcb" w:colFirst="0" w:colLast="0"/>
      <w:bookmarkEnd w:id="20"/>
      <w:r>
        <w:br w:type="page"/>
      </w:r>
      <w:r>
        <w:rPr>
          <w:b/>
          <w:bCs/>
          <w:color w:val="000000"/>
        </w:rPr>
        <w:lastRenderedPageBreak/>
        <w:t>Analysis of Existing AMCs and Performance Metrics</w:t>
      </w:r>
    </w:p>
    <w:p w14:paraId="5E1E4789" w14:textId="77777777" w:rsidR="0018393A" w:rsidRDefault="00D55833">
      <w:pPr>
        <w:spacing w:before="240" w:after="240"/>
      </w:pPr>
      <w:r>
        <w:t xml:space="preserve">Below are 5 prominent AMCs from issuers focusing on performance metrics: Annualized returns, </w:t>
      </w:r>
      <w:bookmarkStart w:id="21" w:name="_Int_qXopykEE"/>
      <w:r>
        <w:t>Volatility (</w:t>
      </w:r>
      <w:bookmarkEnd w:id="21"/>
      <w:r>
        <w:t xml:space="preserve">standard </w:t>
      </w:r>
      <w:bookmarkStart w:id="22" w:name="_Int_Cfwwr1EC"/>
      <w:r>
        <w:t>deviation)</w:t>
      </w:r>
      <w:bookmarkStart w:id="23" w:name="_Int_naLzfDoa"/>
      <w:bookmarkEnd w:id="22"/>
      <w:r>
        <w:t xml:space="preserve">, Sharpe </w:t>
      </w:r>
      <w:bookmarkStart w:id="24" w:name="_Int_isXUZrjj"/>
      <w:bookmarkEnd w:id="23"/>
      <w:r>
        <w:t>ratio (</w:t>
      </w:r>
      <w:bookmarkEnd w:id="24"/>
      <w:r>
        <w:t xml:space="preserve">risk-adjusted </w:t>
      </w:r>
      <w:bookmarkStart w:id="25" w:name="_Int_VWgEOPHM"/>
      <w:r>
        <w:t>return)</w:t>
      </w:r>
      <w:bookmarkStart w:id="26" w:name="_Int_LeBsAlSp"/>
      <w:bookmarkEnd w:id="25"/>
      <w:r>
        <w:t xml:space="preserve">, and </w:t>
      </w:r>
      <w:bookmarkEnd w:id="26"/>
      <w:r>
        <w:t xml:space="preserve">AUM </w:t>
      </w:r>
      <w:bookmarkStart w:id="27" w:name="_Int_b2Pp0EFJ"/>
      <w:r>
        <w:t>growth.</w:t>
      </w:r>
      <w:bookmarkEnd w:id="27"/>
      <w:r>
        <w:t xml:space="preserve"> The data below are taken from the 2025-2026 trends, with AMCs benefiting from market recovery post-geopolitical </w:t>
      </w:r>
      <w:bookmarkStart w:id="28" w:name="_Int_3LDYZL5R"/>
      <w:r>
        <w:t>tensions.</w:t>
      </w:r>
      <w:bookmarkEnd w:id="28"/>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1155"/>
        <w:gridCol w:w="1710"/>
        <w:gridCol w:w="2325"/>
        <w:gridCol w:w="2385"/>
      </w:tblGrid>
      <w:tr w:rsidR="0018393A" w14:paraId="0B2DA49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AAB4E1A" w14:textId="77777777" w:rsidR="0018393A" w:rsidRDefault="00D55833">
            <w:pPr>
              <w:jc w:val="center"/>
              <w:rPr>
                <w:sz w:val="18"/>
                <w:szCs w:val="18"/>
              </w:rPr>
            </w:pPr>
            <w:r>
              <w:rPr>
                <w:b/>
                <w:bCs/>
                <w:sz w:val="18"/>
                <w:szCs w:val="18"/>
              </w:rPr>
              <w:t>AMC Example</w:t>
            </w:r>
          </w:p>
        </w:tc>
        <w:tc>
          <w:tcPr>
            <w:tcW w:w="115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28E01489" w14:textId="77777777" w:rsidR="0018393A" w:rsidRDefault="00D55833">
            <w:pPr>
              <w:jc w:val="center"/>
              <w:rPr>
                <w:sz w:val="18"/>
                <w:szCs w:val="18"/>
              </w:rPr>
            </w:pPr>
            <w:r>
              <w:rPr>
                <w:b/>
                <w:bCs/>
                <w:sz w:val="18"/>
                <w:szCs w:val="18"/>
              </w:rPr>
              <w:t>Issuer</w:t>
            </w:r>
          </w:p>
        </w:tc>
        <w:tc>
          <w:tcPr>
            <w:tcW w:w="1710"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3780A47C" w14:textId="77777777" w:rsidR="0018393A" w:rsidRDefault="00D55833">
            <w:pPr>
              <w:jc w:val="center"/>
              <w:rPr>
                <w:sz w:val="18"/>
                <w:szCs w:val="18"/>
              </w:rPr>
            </w:pPr>
            <w:r>
              <w:rPr>
                <w:b/>
                <w:bCs/>
                <w:sz w:val="18"/>
                <w:szCs w:val="18"/>
              </w:rPr>
              <w:t>Strategy/Assets</w:t>
            </w:r>
          </w:p>
        </w:tc>
        <w:tc>
          <w:tcPr>
            <w:tcW w:w="232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5D330548" w14:textId="77777777" w:rsidR="0018393A" w:rsidRDefault="00D55833">
            <w:pPr>
              <w:jc w:val="center"/>
              <w:rPr>
                <w:sz w:val="18"/>
                <w:szCs w:val="18"/>
              </w:rPr>
            </w:pPr>
            <w:r>
              <w:rPr>
                <w:b/>
                <w:bCs/>
                <w:sz w:val="18"/>
                <w:szCs w:val="18"/>
              </w:rPr>
              <w:t>2025-2026 Performance Metrics</w:t>
            </w:r>
          </w:p>
        </w:tc>
        <w:tc>
          <w:tcPr>
            <w:tcW w:w="2385"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95E8C00" w14:textId="77777777" w:rsidR="0018393A" w:rsidRDefault="00D55833">
            <w:pPr>
              <w:jc w:val="center"/>
              <w:rPr>
                <w:sz w:val="18"/>
                <w:szCs w:val="18"/>
              </w:rPr>
            </w:pPr>
            <w:r>
              <w:rPr>
                <w:b/>
                <w:bCs/>
                <w:sz w:val="18"/>
                <w:szCs w:val="18"/>
              </w:rPr>
              <w:t>Rationale/Analysis</w:t>
            </w:r>
          </w:p>
        </w:tc>
      </w:tr>
      <w:tr w:rsidR="0018393A" w14:paraId="31683A29" w14:textId="77777777">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0A885" w14:textId="77777777" w:rsidR="0018393A" w:rsidRDefault="00D55833">
            <w:pPr>
              <w:rPr>
                <w:sz w:val="18"/>
                <w:szCs w:val="18"/>
              </w:rPr>
            </w:pPr>
            <w:r>
              <w:rPr>
                <w:sz w:val="18"/>
                <w:szCs w:val="18"/>
              </w:rPr>
              <w:t>UBS Dynamic Equity AMC</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1DEAD5" w14:textId="77777777" w:rsidR="0018393A" w:rsidRDefault="00D55833">
            <w:pPr>
              <w:rPr>
                <w:sz w:val="18"/>
                <w:szCs w:val="18"/>
              </w:rPr>
            </w:pPr>
            <w:r>
              <w:rPr>
                <w:sz w:val="18"/>
                <w:szCs w:val="18"/>
              </w:rPr>
              <w:t>UBS</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6B23D" w14:textId="77777777" w:rsidR="0018393A" w:rsidRDefault="00D55833">
            <w:pPr>
              <w:rPr>
                <w:sz w:val="18"/>
                <w:szCs w:val="18"/>
              </w:rPr>
            </w:pPr>
            <w:r>
              <w:rPr>
                <w:sz w:val="18"/>
                <w:szCs w:val="18"/>
              </w:rPr>
              <w:t>Global equities with ESG focus</w:t>
            </w:r>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0A539" w14:textId="77777777" w:rsidR="0018393A" w:rsidRDefault="00D55833">
            <w:pPr>
              <w:rPr>
                <w:sz w:val="18"/>
                <w:szCs w:val="18"/>
              </w:rPr>
            </w:pPr>
            <w:r>
              <w:rPr>
                <w:sz w:val="18"/>
                <w:szCs w:val="18"/>
              </w:rPr>
              <w:t>Annualized Return</w:t>
            </w:r>
            <w:bookmarkStart w:id="29" w:name="_Int_Usp4Nrbx"/>
            <w:r>
              <w:rPr>
                <w:sz w:val="18"/>
                <w:szCs w:val="18"/>
              </w:rPr>
              <w:t>: 12.5%</w:t>
            </w:r>
            <w:bookmarkEnd w:id="29"/>
          </w:p>
          <w:p w14:paraId="59BF7E75" w14:textId="77777777" w:rsidR="0018393A" w:rsidRDefault="00D55833">
            <w:pPr>
              <w:rPr>
                <w:sz w:val="18"/>
                <w:szCs w:val="18"/>
              </w:rPr>
            </w:pPr>
            <w:r>
              <w:rPr>
                <w:sz w:val="18"/>
                <w:szCs w:val="18"/>
              </w:rPr>
              <w:t>Volatility</w:t>
            </w:r>
            <w:bookmarkStart w:id="30" w:name="_Int_NAUvd8L8"/>
            <w:r>
              <w:rPr>
                <w:sz w:val="18"/>
                <w:szCs w:val="18"/>
              </w:rPr>
              <w:t>: 14%</w:t>
            </w:r>
            <w:bookmarkEnd w:id="30"/>
          </w:p>
          <w:p w14:paraId="226326FF" w14:textId="77777777" w:rsidR="0018393A" w:rsidRDefault="00D55833">
            <w:pPr>
              <w:rPr>
                <w:sz w:val="18"/>
                <w:szCs w:val="18"/>
              </w:rPr>
            </w:pPr>
            <w:r>
              <w:rPr>
                <w:sz w:val="18"/>
                <w:szCs w:val="18"/>
              </w:rPr>
              <w:t>Sharpe Ratio</w:t>
            </w:r>
            <w:bookmarkStart w:id="31" w:name="_Int_VHw4h9gq"/>
            <w:r>
              <w:rPr>
                <w:sz w:val="18"/>
                <w:szCs w:val="18"/>
              </w:rPr>
              <w:t>: 0.89</w:t>
            </w:r>
            <w:bookmarkEnd w:id="31"/>
          </w:p>
          <w:p w14:paraId="50DBCBF8" w14:textId="77777777" w:rsidR="0018393A" w:rsidRDefault="00D55833">
            <w:pPr>
              <w:rPr>
                <w:sz w:val="18"/>
                <w:szCs w:val="18"/>
              </w:rPr>
            </w:pPr>
            <w:r>
              <w:rPr>
                <w:sz w:val="18"/>
                <w:szCs w:val="18"/>
              </w:rPr>
              <w:t xml:space="preserve">AUM </w:t>
            </w:r>
            <w:bookmarkStart w:id="32" w:name="_Int_bSp6dexa"/>
            <w:r>
              <w:rPr>
                <w:sz w:val="18"/>
                <w:szCs w:val="18"/>
              </w:rPr>
              <w:t xml:space="preserve">Growth: </w:t>
            </w:r>
            <w:bookmarkEnd w:id="32"/>
            <w:r>
              <w:rPr>
                <w:sz w:val="18"/>
                <w:szCs w:val="18"/>
              </w:rPr>
              <w:t>+18% to $2.5B</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CBFF0" w14:textId="77777777" w:rsidR="0018393A" w:rsidRDefault="00D55833">
            <w:pPr>
              <w:rPr>
                <w:sz w:val="18"/>
                <w:szCs w:val="18"/>
              </w:rPr>
            </w:pPr>
            <w:r>
              <w:rPr>
                <w:sz w:val="18"/>
                <w:szCs w:val="18"/>
              </w:rPr>
              <w:t>Strong in Asia or Europe</w:t>
            </w:r>
          </w:p>
          <w:p w14:paraId="1ECC21AC" w14:textId="77777777" w:rsidR="0018393A" w:rsidRDefault="00D55833">
            <w:pPr>
              <w:rPr>
                <w:sz w:val="18"/>
                <w:szCs w:val="18"/>
              </w:rPr>
            </w:pPr>
            <w:r>
              <w:rPr>
                <w:sz w:val="18"/>
                <w:szCs w:val="18"/>
              </w:rPr>
              <w:t xml:space="preserve">outperformed </w:t>
            </w:r>
            <w:bookmarkStart w:id="33" w:name="_Int_z54eScsy"/>
            <w:r>
              <w:rPr>
                <w:sz w:val="18"/>
                <w:szCs w:val="18"/>
              </w:rPr>
              <w:t>benchmarks (</w:t>
            </w:r>
            <w:bookmarkEnd w:id="33"/>
            <w:r>
              <w:rPr>
                <w:sz w:val="18"/>
                <w:szCs w:val="18"/>
              </w:rPr>
              <w:t xml:space="preserve">e.g. MSCI </w:t>
            </w:r>
            <w:bookmarkStart w:id="34" w:name="_Int_7fkBbCgA"/>
            <w:r>
              <w:rPr>
                <w:sz w:val="18"/>
                <w:szCs w:val="18"/>
              </w:rPr>
              <w:t>World +</w:t>
            </w:r>
            <w:bookmarkEnd w:id="34"/>
            <w:r>
              <w:rPr>
                <w:sz w:val="18"/>
                <w:szCs w:val="18"/>
              </w:rPr>
              <w:t xml:space="preserve">10%) due to active tech </w:t>
            </w:r>
            <w:bookmarkStart w:id="35" w:name="_Int_5bpsjXyF"/>
            <w:r>
              <w:rPr>
                <w:sz w:val="18"/>
                <w:szCs w:val="18"/>
              </w:rPr>
              <w:t>reallocations.</w:t>
            </w:r>
            <w:bookmarkEnd w:id="35"/>
            <w:r>
              <w:rPr>
                <w:sz w:val="18"/>
                <w:szCs w:val="18"/>
              </w:rPr>
              <w:t xml:space="preserve"> </w:t>
            </w:r>
          </w:p>
          <w:p w14:paraId="183481E7" w14:textId="77777777" w:rsidR="0018393A" w:rsidRDefault="00D55833">
            <w:pPr>
              <w:rPr>
                <w:sz w:val="18"/>
                <w:szCs w:val="18"/>
              </w:rPr>
            </w:pPr>
            <w:r>
              <w:rPr>
                <w:sz w:val="18"/>
                <w:szCs w:val="18"/>
              </w:rPr>
              <w:t xml:space="preserve">Risks: Market volatility led to 5% drawdown in Q1 </w:t>
            </w:r>
            <w:bookmarkStart w:id="36" w:name="_Int_3kJgCJOM"/>
            <w:r>
              <w:rPr>
                <w:sz w:val="18"/>
                <w:szCs w:val="18"/>
              </w:rPr>
              <w:t>2026.</w:t>
            </w:r>
            <w:bookmarkEnd w:id="36"/>
          </w:p>
        </w:tc>
      </w:tr>
      <w:tr w:rsidR="0018393A" w14:paraId="4DDDC73A" w14:textId="77777777">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8BF610" w14:textId="77777777" w:rsidR="0018393A" w:rsidRDefault="00D55833">
            <w:pPr>
              <w:rPr>
                <w:sz w:val="18"/>
                <w:szCs w:val="18"/>
              </w:rPr>
            </w:pPr>
            <w:r>
              <w:rPr>
                <w:sz w:val="18"/>
                <w:szCs w:val="18"/>
              </w:rPr>
              <w:t>Vontobel High Dividend AMC</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6B7C02" w14:textId="77777777" w:rsidR="0018393A" w:rsidRDefault="00D55833">
            <w:pPr>
              <w:rPr>
                <w:sz w:val="18"/>
                <w:szCs w:val="18"/>
              </w:rPr>
            </w:pPr>
            <w:r>
              <w:rPr>
                <w:sz w:val="18"/>
                <w:szCs w:val="18"/>
              </w:rPr>
              <w:t>Vontobel</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13B69" w14:textId="77777777" w:rsidR="0018393A" w:rsidRDefault="00D55833">
            <w:pPr>
              <w:rPr>
                <w:sz w:val="18"/>
                <w:szCs w:val="18"/>
              </w:rPr>
            </w:pPr>
            <w:r>
              <w:rPr>
                <w:sz w:val="18"/>
                <w:szCs w:val="18"/>
              </w:rPr>
              <w:t xml:space="preserve">Dividend-yielding </w:t>
            </w:r>
            <w:bookmarkStart w:id="37" w:name="_Int_qo0X9HIy"/>
            <w:r>
              <w:rPr>
                <w:sz w:val="18"/>
                <w:szCs w:val="18"/>
              </w:rPr>
              <w:t>stocks (</w:t>
            </w:r>
            <w:bookmarkEnd w:id="37"/>
            <w:r>
              <w:rPr>
                <w:sz w:val="18"/>
                <w:szCs w:val="18"/>
              </w:rPr>
              <w:t xml:space="preserve">equities or </w:t>
            </w:r>
            <w:bookmarkStart w:id="38" w:name="_Int_3VyHimjo"/>
            <w:r>
              <w:rPr>
                <w:sz w:val="18"/>
                <w:szCs w:val="18"/>
              </w:rPr>
              <w:t>commodities)</w:t>
            </w:r>
            <w:bookmarkEnd w:id="38"/>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0E716" w14:textId="77777777" w:rsidR="0018393A" w:rsidRDefault="00D55833">
            <w:pPr>
              <w:rPr>
                <w:sz w:val="18"/>
                <w:szCs w:val="18"/>
              </w:rPr>
            </w:pPr>
            <w:r>
              <w:rPr>
                <w:sz w:val="18"/>
                <w:szCs w:val="18"/>
              </w:rPr>
              <w:t>Annualized Return</w:t>
            </w:r>
            <w:bookmarkStart w:id="39" w:name="_Int_NwgQAJ87"/>
            <w:r>
              <w:rPr>
                <w:sz w:val="18"/>
                <w:szCs w:val="18"/>
              </w:rPr>
              <w:t>: 9.8%</w:t>
            </w:r>
            <w:bookmarkEnd w:id="39"/>
          </w:p>
          <w:p w14:paraId="313E1CD2" w14:textId="77777777" w:rsidR="0018393A" w:rsidRDefault="00D55833">
            <w:pPr>
              <w:rPr>
                <w:sz w:val="18"/>
                <w:szCs w:val="18"/>
              </w:rPr>
            </w:pPr>
            <w:r>
              <w:rPr>
                <w:sz w:val="18"/>
                <w:szCs w:val="18"/>
              </w:rPr>
              <w:t>Volatility</w:t>
            </w:r>
            <w:bookmarkStart w:id="40" w:name="_Int_NTKUSsTj"/>
            <w:r>
              <w:rPr>
                <w:sz w:val="18"/>
                <w:szCs w:val="18"/>
              </w:rPr>
              <w:t>: 11%</w:t>
            </w:r>
            <w:bookmarkEnd w:id="40"/>
          </w:p>
          <w:p w14:paraId="36E4785C" w14:textId="77777777" w:rsidR="0018393A" w:rsidRDefault="00D55833">
            <w:pPr>
              <w:rPr>
                <w:sz w:val="18"/>
                <w:szCs w:val="18"/>
              </w:rPr>
            </w:pPr>
            <w:r>
              <w:rPr>
                <w:sz w:val="18"/>
                <w:szCs w:val="18"/>
              </w:rPr>
              <w:t>Sharpe Ratio</w:t>
            </w:r>
            <w:bookmarkStart w:id="41" w:name="_Int_QWTlImD2"/>
            <w:r>
              <w:rPr>
                <w:sz w:val="18"/>
                <w:szCs w:val="18"/>
              </w:rPr>
              <w:t>: 0.75</w:t>
            </w:r>
            <w:bookmarkEnd w:id="41"/>
          </w:p>
          <w:p w14:paraId="75EA339E" w14:textId="77777777" w:rsidR="0018393A" w:rsidRDefault="00D55833">
            <w:pPr>
              <w:rPr>
                <w:sz w:val="18"/>
                <w:szCs w:val="18"/>
              </w:rPr>
            </w:pPr>
            <w:r>
              <w:rPr>
                <w:sz w:val="18"/>
                <w:szCs w:val="18"/>
              </w:rPr>
              <w:t xml:space="preserve">AUM </w:t>
            </w:r>
            <w:bookmarkStart w:id="42" w:name="_Int_yjAWbLip"/>
            <w:r>
              <w:rPr>
                <w:sz w:val="18"/>
                <w:szCs w:val="18"/>
              </w:rPr>
              <w:t xml:space="preserve">Growth: </w:t>
            </w:r>
            <w:bookmarkEnd w:id="42"/>
            <w:r>
              <w:rPr>
                <w:sz w:val="18"/>
                <w:szCs w:val="18"/>
              </w:rPr>
              <w:t>+22% to $1.8B</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B1834" w14:textId="77777777" w:rsidR="0018393A" w:rsidRDefault="00D55833">
            <w:pPr>
              <w:rPr>
                <w:sz w:val="18"/>
                <w:szCs w:val="18"/>
              </w:rPr>
            </w:pPr>
            <w:r>
              <w:rPr>
                <w:sz w:val="18"/>
                <w:szCs w:val="18"/>
              </w:rPr>
              <w:t xml:space="preserve">Popular for yield </w:t>
            </w:r>
            <w:bookmarkStart w:id="43" w:name="_Int_vhKIadhE"/>
            <w:r>
              <w:rPr>
                <w:sz w:val="18"/>
                <w:szCs w:val="18"/>
              </w:rPr>
              <w:t>enhancement (</w:t>
            </w:r>
            <w:bookmarkEnd w:id="43"/>
            <w:r>
              <w:rPr>
                <w:sz w:val="18"/>
                <w:szCs w:val="18"/>
              </w:rPr>
              <w:t xml:space="preserve">4-6% dividends) per Julius Baer, with demand for high-dividend AMCs surged 25% in 2026 amid </w:t>
            </w:r>
            <w:bookmarkStart w:id="44" w:name="_Int_OTfCPDtL"/>
            <w:r>
              <w:rPr>
                <w:sz w:val="18"/>
                <w:szCs w:val="18"/>
              </w:rPr>
              <w:t>rates.</w:t>
            </w:r>
            <w:bookmarkEnd w:id="44"/>
            <w:r>
              <w:rPr>
                <w:sz w:val="18"/>
                <w:szCs w:val="18"/>
              </w:rPr>
              <w:t xml:space="preserve"> </w:t>
            </w:r>
          </w:p>
          <w:p w14:paraId="6E6C5AA1" w14:textId="77777777" w:rsidR="0018393A" w:rsidRDefault="00D55833">
            <w:pPr>
              <w:rPr>
                <w:sz w:val="18"/>
                <w:szCs w:val="18"/>
              </w:rPr>
            </w:pPr>
            <w:r>
              <w:rPr>
                <w:sz w:val="18"/>
                <w:szCs w:val="18"/>
              </w:rPr>
              <w:t xml:space="preserve">Drawback: Underperformed in growth </w:t>
            </w:r>
            <w:bookmarkStart w:id="45" w:name="_Int_CQdDiJFN"/>
            <w:r>
              <w:rPr>
                <w:sz w:val="18"/>
                <w:szCs w:val="18"/>
              </w:rPr>
              <w:t>rallies.</w:t>
            </w:r>
            <w:bookmarkEnd w:id="45"/>
          </w:p>
        </w:tc>
      </w:tr>
      <w:tr w:rsidR="0018393A" w14:paraId="091946A7" w14:textId="77777777">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0D5C2" w14:textId="77777777" w:rsidR="0018393A" w:rsidRDefault="00D55833">
            <w:pPr>
              <w:rPr>
                <w:sz w:val="18"/>
                <w:szCs w:val="18"/>
              </w:rPr>
            </w:pPr>
            <w:r>
              <w:rPr>
                <w:sz w:val="18"/>
                <w:szCs w:val="18"/>
              </w:rPr>
              <w:t>Leonteq Multi-Asset AMC</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55D92" w14:textId="77777777" w:rsidR="0018393A" w:rsidRDefault="00D55833">
            <w:pPr>
              <w:rPr>
                <w:sz w:val="18"/>
                <w:szCs w:val="18"/>
              </w:rPr>
            </w:pPr>
            <w:r>
              <w:rPr>
                <w:sz w:val="18"/>
                <w:szCs w:val="18"/>
              </w:rPr>
              <w:t>Leonteq</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3B209" w14:textId="77777777" w:rsidR="0018393A" w:rsidRDefault="00D55833">
            <w:pPr>
              <w:rPr>
                <w:sz w:val="18"/>
                <w:szCs w:val="18"/>
              </w:rPr>
            </w:pPr>
            <w:bookmarkStart w:id="46" w:name="_Int_BU4tUcbc"/>
            <w:r>
              <w:rPr>
                <w:sz w:val="18"/>
                <w:szCs w:val="18"/>
              </w:rPr>
              <w:t>Balanced (</w:t>
            </w:r>
            <w:bookmarkEnd w:id="46"/>
            <w:r>
              <w:rPr>
                <w:sz w:val="18"/>
                <w:szCs w:val="18"/>
              </w:rPr>
              <w:t>equities, bonds</w:t>
            </w:r>
            <w:bookmarkStart w:id="47" w:name="_Int_VttgDfBk"/>
            <w:r>
              <w:rPr>
                <w:sz w:val="18"/>
                <w:szCs w:val="18"/>
              </w:rPr>
              <w:t xml:space="preserve">, </w:t>
            </w:r>
            <w:bookmarkStart w:id="48" w:name="_Int_SB9uOpgp"/>
            <w:r>
              <w:rPr>
                <w:sz w:val="18"/>
                <w:szCs w:val="18"/>
              </w:rPr>
              <w:t>commodities)</w:t>
            </w:r>
            <w:bookmarkEnd w:id="47"/>
            <w:bookmarkEnd w:id="48"/>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1D0D2" w14:textId="77777777" w:rsidR="0018393A" w:rsidRDefault="00D55833">
            <w:pPr>
              <w:rPr>
                <w:sz w:val="18"/>
                <w:szCs w:val="18"/>
              </w:rPr>
            </w:pPr>
            <w:r>
              <w:rPr>
                <w:sz w:val="18"/>
                <w:szCs w:val="18"/>
              </w:rPr>
              <w:t>Annualized Return</w:t>
            </w:r>
            <w:bookmarkStart w:id="49" w:name="_Int_r0FNPd6O"/>
            <w:r>
              <w:rPr>
                <w:sz w:val="18"/>
                <w:szCs w:val="18"/>
              </w:rPr>
              <w:t>: 10.2%</w:t>
            </w:r>
            <w:bookmarkEnd w:id="49"/>
          </w:p>
          <w:p w14:paraId="3AA4E20E" w14:textId="77777777" w:rsidR="0018393A" w:rsidRDefault="00D55833">
            <w:pPr>
              <w:rPr>
                <w:sz w:val="18"/>
                <w:szCs w:val="18"/>
              </w:rPr>
            </w:pPr>
            <w:r>
              <w:rPr>
                <w:sz w:val="18"/>
                <w:szCs w:val="18"/>
              </w:rPr>
              <w:t>Volatility</w:t>
            </w:r>
            <w:bookmarkStart w:id="50" w:name="_Int_NfU6QHns"/>
            <w:r>
              <w:rPr>
                <w:sz w:val="18"/>
                <w:szCs w:val="18"/>
              </w:rPr>
              <w:t>: 12.5%</w:t>
            </w:r>
            <w:bookmarkEnd w:id="50"/>
          </w:p>
          <w:p w14:paraId="6280FDCA" w14:textId="77777777" w:rsidR="0018393A" w:rsidRDefault="00D55833">
            <w:pPr>
              <w:rPr>
                <w:sz w:val="18"/>
                <w:szCs w:val="18"/>
              </w:rPr>
            </w:pPr>
            <w:r>
              <w:rPr>
                <w:sz w:val="18"/>
                <w:szCs w:val="18"/>
              </w:rPr>
              <w:t>Sharpe Ratio</w:t>
            </w:r>
            <w:bookmarkStart w:id="51" w:name="_Int_kCJgLB7a"/>
            <w:r>
              <w:rPr>
                <w:sz w:val="18"/>
                <w:szCs w:val="18"/>
              </w:rPr>
              <w:t>: 0.82</w:t>
            </w:r>
            <w:bookmarkEnd w:id="51"/>
          </w:p>
          <w:p w14:paraId="09950BE6" w14:textId="77777777" w:rsidR="0018393A" w:rsidRDefault="00D55833">
            <w:pPr>
              <w:rPr>
                <w:sz w:val="18"/>
                <w:szCs w:val="18"/>
              </w:rPr>
            </w:pPr>
            <w:r>
              <w:rPr>
                <w:sz w:val="18"/>
                <w:szCs w:val="18"/>
              </w:rPr>
              <w:t xml:space="preserve">AUM </w:t>
            </w:r>
            <w:bookmarkStart w:id="52" w:name="_Int_VAZseZ9C"/>
            <w:r>
              <w:rPr>
                <w:sz w:val="18"/>
                <w:szCs w:val="18"/>
              </w:rPr>
              <w:t xml:space="preserve">Growth: </w:t>
            </w:r>
            <w:bookmarkEnd w:id="52"/>
            <w:r>
              <w:rPr>
                <w:sz w:val="18"/>
                <w:szCs w:val="18"/>
              </w:rPr>
              <w:t>+15% to $1.2B</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F61E0B" w14:textId="77777777" w:rsidR="0018393A" w:rsidRDefault="00D55833">
            <w:pPr>
              <w:rPr>
                <w:sz w:val="18"/>
                <w:szCs w:val="18"/>
              </w:rPr>
            </w:pPr>
            <w:r>
              <w:rPr>
                <w:sz w:val="18"/>
                <w:szCs w:val="18"/>
              </w:rPr>
              <w:t>Flexible mandate aided hedging</w:t>
            </w:r>
            <w:bookmarkStart w:id="53" w:name="_Int_2xymImdm"/>
            <w:r>
              <w:rPr>
                <w:sz w:val="18"/>
                <w:szCs w:val="18"/>
              </w:rPr>
              <w:t xml:space="preserve">, 2026 </w:t>
            </w:r>
            <w:bookmarkEnd w:id="53"/>
            <w:r>
              <w:rPr>
                <w:sz w:val="18"/>
                <w:szCs w:val="18"/>
              </w:rPr>
              <w:t xml:space="preserve">geopolitics boosted commodity </w:t>
            </w:r>
            <w:bookmarkStart w:id="54" w:name="_Int_BvaInmkx"/>
            <w:r>
              <w:rPr>
                <w:sz w:val="18"/>
                <w:szCs w:val="18"/>
              </w:rPr>
              <w:t>exposure.</w:t>
            </w:r>
            <w:bookmarkEnd w:id="54"/>
            <w:r>
              <w:rPr>
                <w:sz w:val="18"/>
                <w:szCs w:val="18"/>
              </w:rPr>
              <w:t xml:space="preserve"> </w:t>
            </w:r>
          </w:p>
          <w:p w14:paraId="3DEB5B45" w14:textId="77777777" w:rsidR="0018393A" w:rsidRDefault="0018393A">
            <w:pPr>
              <w:rPr>
                <w:sz w:val="18"/>
                <w:szCs w:val="18"/>
              </w:rPr>
            </w:pPr>
          </w:p>
        </w:tc>
      </w:tr>
      <w:tr w:rsidR="0018393A" w14:paraId="5821B057" w14:textId="77777777">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82D51" w14:textId="77777777" w:rsidR="0018393A" w:rsidRDefault="00D55833">
            <w:pPr>
              <w:rPr>
                <w:sz w:val="18"/>
                <w:szCs w:val="18"/>
              </w:rPr>
            </w:pPr>
            <w:r>
              <w:rPr>
                <w:sz w:val="18"/>
                <w:szCs w:val="18"/>
              </w:rPr>
              <w:t xml:space="preserve">JSE Actively Managed Certificate </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AF3C31" w14:textId="77777777" w:rsidR="0018393A" w:rsidRDefault="00D55833">
            <w:pPr>
              <w:rPr>
                <w:sz w:val="18"/>
                <w:szCs w:val="18"/>
              </w:rPr>
            </w:pPr>
            <w:bookmarkStart w:id="55" w:name="_Int_ssOakjgZ"/>
            <w:r>
              <w:rPr>
                <w:sz w:val="18"/>
                <w:szCs w:val="18"/>
              </w:rPr>
              <w:t>Absa (</w:t>
            </w:r>
            <w:bookmarkEnd w:id="55"/>
            <w:r>
              <w:rPr>
                <w:sz w:val="18"/>
                <w:szCs w:val="18"/>
              </w:rPr>
              <w:t>JSE-</w:t>
            </w:r>
            <w:bookmarkStart w:id="56" w:name="_Int_hthGV18h"/>
            <w:r>
              <w:rPr>
                <w:sz w:val="18"/>
                <w:szCs w:val="18"/>
              </w:rPr>
              <w:t>listed)</w:t>
            </w:r>
            <w:bookmarkEnd w:id="56"/>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A4ED61" w14:textId="77777777" w:rsidR="0018393A" w:rsidRDefault="00D55833">
            <w:pPr>
              <w:rPr>
                <w:sz w:val="18"/>
                <w:szCs w:val="18"/>
              </w:rPr>
            </w:pPr>
            <w:r>
              <w:rPr>
                <w:sz w:val="18"/>
                <w:szCs w:val="18"/>
              </w:rPr>
              <w:t>Global macro equities</w:t>
            </w:r>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38A50" w14:textId="77777777" w:rsidR="0018393A" w:rsidRDefault="00D55833">
            <w:pPr>
              <w:rPr>
                <w:sz w:val="18"/>
                <w:szCs w:val="18"/>
              </w:rPr>
            </w:pPr>
            <w:r>
              <w:rPr>
                <w:sz w:val="18"/>
                <w:szCs w:val="18"/>
              </w:rPr>
              <w:t>Annualized Return</w:t>
            </w:r>
            <w:bookmarkStart w:id="57" w:name="_Int_xhFC2WB0"/>
            <w:r>
              <w:rPr>
                <w:sz w:val="18"/>
                <w:szCs w:val="18"/>
              </w:rPr>
              <w:t>: 11%</w:t>
            </w:r>
            <w:bookmarkEnd w:id="57"/>
          </w:p>
          <w:p w14:paraId="204E0471" w14:textId="77777777" w:rsidR="0018393A" w:rsidRDefault="00D55833">
            <w:pPr>
              <w:rPr>
                <w:sz w:val="18"/>
                <w:szCs w:val="18"/>
              </w:rPr>
            </w:pPr>
            <w:r>
              <w:rPr>
                <w:sz w:val="18"/>
                <w:szCs w:val="18"/>
              </w:rPr>
              <w:t>Volatility</w:t>
            </w:r>
            <w:bookmarkStart w:id="58" w:name="_Int_0oqWq2YV"/>
            <w:r>
              <w:rPr>
                <w:sz w:val="18"/>
                <w:szCs w:val="18"/>
              </w:rPr>
              <w:t>: 13%</w:t>
            </w:r>
            <w:bookmarkEnd w:id="58"/>
          </w:p>
          <w:p w14:paraId="6C0D33AC" w14:textId="77777777" w:rsidR="0018393A" w:rsidRDefault="00D55833">
            <w:pPr>
              <w:rPr>
                <w:sz w:val="18"/>
                <w:szCs w:val="18"/>
              </w:rPr>
            </w:pPr>
            <w:r>
              <w:rPr>
                <w:sz w:val="18"/>
                <w:szCs w:val="18"/>
              </w:rPr>
              <w:t>Sharpe Ratio</w:t>
            </w:r>
            <w:bookmarkStart w:id="59" w:name="_Int_rn7u9SWm"/>
            <w:r>
              <w:rPr>
                <w:sz w:val="18"/>
                <w:szCs w:val="18"/>
              </w:rPr>
              <w:t>: 0.85</w:t>
            </w:r>
            <w:bookmarkEnd w:id="59"/>
          </w:p>
          <w:p w14:paraId="51843868" w14:textId="77777777" w:rsidR="0018393A" w:rsidRDefault="00D55833">
            <w:pPr>
              <w:rPr>
                <w:sz w:val="18"/>
                <w:szCs w:val="18"/>
              </w:rPr>
            </w:pPr>
            <w:r>
              <w:rPr>
                <w:sz w:val="18"/>
                <w:szCs w:val="18"/>
              </w:rPr>
              <w:t xml:space="preserve">AUM </w:t>
            </w:r>
            <w:bookmarkStart w:id="60" w:name="_Int_ngplwmEy"/>
            <w:r>
              <w:rPr>
                <w:sz w:val="18"/>
                <w:szCs w:val="18"/>
              </w:rPr>
              <w:t xml:space="preserve">Growth: </w:t>
            </w:r>
            <w:bookmarkEnd w:id="60"/>
            <w:r>
              <w:rPr>
                <w:sz w:val="18"/>
                <w:szCs w:val="18"/>
              </w:rPr>
              <w:t>+20% to $800M</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4CF69" w14:textId="77777777" w:rsidR="0018393A" w:rsidRDefault="00D55833">
            <w:pPr>
              <w:rPr>
                <w:sz w:val="18"/>
                <w:szCs w:val="18"/>
              </w:rPr>
            </w:pPr>
            <w:r>
              <w:rPr>
                <w:sz w:val="18"/>
                <w:szCs w:val="18"/>
              </w:rPr>
              <w:t xml:space="preserve">Africa &amp; Asia focus, benefited from emerging markets </w:t>
            </w:r>
            <w:bookmarkStart w:id="61" w:name="_Int_rBXkIqd8"/>
            <w:r>
              <w:rPr>
                <w:sz w:val="18"/>
                <w:szCs w:val="18"/>
              </w:rPr>
              <w:t>(+</w:t>
            </w:r>
            <w:bookmarkEnd w:id="61"/>
            <w:r>
              <w:rPr>
                <w:sz w:val="18"/>
                <w:szCs w:val="18"/>
              </w:rPr>
              <w:t>15% returns</w:t>
            </w:r>
            <w:bookmarkStart w:id="62" w:name="_Int_RFV2M9Lw"/>
            <w:r>
              <w:rPr>
                <w:sz w:val="18"/>
                <w:szCs w:val="18"/>
              </w:rPr>
              <w:t>).</w:t>
            </w:r>
            <w:bookmarkEnd w:id="62"/>
            <w:r>
              <w:rPr>
                <w:sz w:val="18"/>
                <w:szCs w:val="18"/>
              </w:rPr>
              <w:t xml:space="preserve"> </w:t>
            </w:r>
          </w:p>
          <w:p w14:paraId="1445E2FD" w14:textId="77777777" w:rsidR="0018393A" w:rsidRDefault="00D55833">
            <w:pPr>
              <w:rPr>
                <w:sz w:val="18"/>
                <w:szCs w:val="18"/>
              </w:rPr>
            </w:pPr>
            <w:r>
              <w:rPr>
                <w:sz w:val="18"/>
                <w:szCs w:val="18"/>
              </w:rPr>
              <w:t xml:space="preserve">Challenges: Regulatory hurdles in non-EU </w:t>
            </w:r>
            <w:bookmarkStart w:id="63" w:name="_Int_ZXqZJ6uS"/>
            <w:r>
              <w:rPr>
                <w:sz w:val="18"/>
                <w:szCs w:val="18"/>
              </w:rPr>
              <w:t>regions.</w:t>
            </w:r>
            <w:bookmarkEnd w:id="63"/>
          </w:p>
        </w:tc>
      </w:tr>
      <w:tr w:rsidR="0018393A" w14:paraId="0EDE0FC6" w14:textId="77777777">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6EECC" w14:textId="77777777" w:rsidR="0018393A" w:rsidRDefault="00D55833">
            <w:pPr>
              <w:rPr>
                <w:sz w:val="18"/>
                <w:szCs w:val="18"/>
              </w:rPr>
            </w:pPr>
            <w:r>
              <w:rPr>
                <w:sz w:val="18"/>
                <w:szCs w:val="18"/>
              </w:rPr>
              <w:t>GenTwo Tokenized AMC Prototype</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3BEE2" w14:textId="77777777" w:rsidR="0018393A" w:rsidRDefault="00D55833">
            <w:pPr>
              <w:rPr>
                <w:sz w:val="18"/>
                <w:szCs w:val="18"/>
              </w:rPr>
            </w:pPr>
            <w:r>
              <w:rPr>
                <w:sz w:val="18"/>
                <w:szCs w:val="18"/>
              </w:rPr>
              <w:t>GenTwo</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EB578" w14:textId="77777777" w:rsidR="0018393A" w:rsidRDefault="00D55833">
            <w:pPr>
              <w:rPr>
                <w:sz w:val="18"/>
                <w:szCs w:val="18"/>
              </w:rPr>
            </w:pPr>
            <w:bookmarkStart w:id="64" w:name="_Int_BbxCeBSg"/>
            <w:r>
              <w:rPr>
                <w:sz w:val="18"/>
                <w:szCs w:val="18"/>
              </w:rPr>
              <w:t>RWAs (</w:t>
            </w:r>
            <w:bookmarkEnd w:id="64"/>
            <w:r>
              <w:rPr>
                <w:sz w:val="18"/>
                <w:szCs w:val="18"/>
              </w:rPr>
              <w:t xml:space="preserve">real estate or equities </w:t>
            </w:r>
            <w:bookmarkStart w:id="65" w:name="_Int_juXELEJC"/>
            <w:r>
              <w:rPr>
                <w:sz w:val="18"/>
                <w:szCs w:val="18"/>
              </w:rPr>
              <w:t>tokenized)</w:t>
            </w:r>
            <w:bookmarkEnd w:id="65"/>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4C6D7" w14:textId="77777777" w:rsidR="0018393A" w:rsidRDefault="00D55833">
            <w:pPr>
              <w:rPr>
                <w:sz w:val="18"/>
                <w:szCs w:val="18"/>
              </w:rPr>
            </w:pPr>
            <w:r>
              <w:rPr>
                <w:sz w:val="18"/>
                <w:szCs w:val="18"/>
              </w:rPr>
              <w:t>Annualized Return</w:t>
            </w:r>
            <w:bookmarkStart w:id="66" w:name="_Int_WRFmLGle"/>
            <w:r>
              <w:rPr>
                <w:sz w:val="18"/>
                <w:szCs w:val="18"/>
              </w:rPr>
              <w:t>: 13%</w:t>
            </w:r>
            <w:bookmarkEnd w:id="66"/>
          </w:p>
          <w:p w14:paraId="69FCDE86" w14:textId="77777777" w:rsidR="0018393A" w:rsidRDefault="00D55833">
            <w:pPr>
              <w:rPr>
                <w:sz w:val="18"/>
                <w:szCs w:val="18"/>
              </w:rPr>
            </w:pPr>
            <w:r>
              <w:rPr>
                <w:sz w:val="18"/>
                <w:szCs w:val="18"/>
              </w:rPr>
              <w:t>Volatility</w:t>
            </w:r>
            <w:bookmarkStart w:id="67" w:name="_Int_GaGgt9IE"/>
            <w:r>
              <w:rPr>
                <w:sz w:val="18"/>
                <w:szCs w:val="18"/>
              </w:rPr>
              <w:t>: 10%</w:t>
            </w:r>
            <w:bookmarkEnd w:id="67"/>
          </w:p>
          <w:p w14:paraId="24F1B244" w14:textId="77777777" w:rsidR="0018393A" w:rsidRDefault="00D55833">
            <w:pPr>
              <w:rPr>
                <w:sz w:val="18"/>
                <w:szCs w:val="18"/>
              </w:rPr>
            </w:pPr>
            <w:r>
              <w:rPr>
                <w:sz w:val="18"/>
                <w:szCs w:val="18"/>
              </w:rPr>
              <w:t>Sharpe Ratio</w:t>
            </w:r>
            <w:bookmarkStart w:id="68" w:name="_Int_zc7GO3Hn"/>
            <w:r>
              <w:rPr>
                <w:sz w:val="18"/>
                <w:szCs w:val="18"/>
              </w:rPr>
              <w:t>: 1.05</w:t>
            </w:r>
            <w:bookmarkEnd w:id="68"/>
          </w:p>
          <w:p w14:paraId="6750B0A5" w14:textId="77777777" w:rsidR="0018393A" w:rsidRDefault="00D55833">
            <w:pPr>
              <w:rPr>
                <w:sz w:val="18"/>
                <w:szCs w:val="18"/>
              </w:rPr>
            </w:pPr>
            <w:r>
              <w:rPr>
                <w:sz w:val="18"/>
                <w:szCs w:val="18"/>
              </w:rPr>
              <w:t xml:space="preserve">AUM </w:t>
            </w:r>
            <w:bookmarkStart w:id="69" w:name="_Int_trL0EL7T"/>
            <w:r>
              <w:rPr>
                <w:sz w:val="18"/>
                <w:szCs w:val="18"/>
              </w:rPr>
              <w:t xml:space="preserve">Growth: </w:t>
            </w:r>
            <w:bookmarkEnd w:id="69"/>
            <w:r>
              <w:rPr>
                <w:sz w:val="18"/>
                <w:szCs w:val="18"/>
              </w:rPr>
              <w:t>+35% to $</w:t>
            </w:r>
            <w:bookmarkStart w:id="70" w:name="_Int_TD150gbi"/>
            <w:r>
              <w:rPr>
                <w:sz w:val="18"/>
                <w:szCs w:val="18"/>
              </w:rPr>
              <w:t>500M (</w:t>
            </w:r>
            <w:bookmarkEnd w:id="70"/>
            <w:r>
              <w:rPr>
                <w:sz w:val="18"/>
                <w:szCs w:val="18"/>
              </w:rPr>
              <w:t xml:space="preserve">early </w:t>
            </w:r>
            <w:bookmarkStart w:id="71" w:name="_Int_V0dgePyb"/>
            <w:r>
              <w:rPr>
                <w:sz w:val="18"/>
                <w:szCs w:val="18"/>
              </w:rPr>
              <w:t>2026)</w:t>
            </w:r>
            <w:bookmarkEnd w:id="71"/>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9590E5" w14:textId="77777777" w:rsidR="0018393A" w:rsidRDefault="00D55833">
            <w:pPr>
              <w:rPr>
                <w:sz w:val="18"/>
                <w:szCs w:val="18"/>
              </w:rPr>
            </w:pPr>
            <w:r>
              <w:rPr>
                <w:sz w:val="18"/>
                <w:szCs w:val="18"/>
              </w:rPr>
              <w:t xml:space="preserve">MiCA-compliant tokenization per GenTwo, reduces costs by </w:t>
            </w:r>
            <w:bookmarkStart w:id="72" w:name="_Int_t1I2pUJh"/>
            <w:r>
              <w:rPr>
                <w:sz w:val="18"/>
                <w:szCs w:val="18"/>
              </w:rPr>
              <w:t>20%.</w:t>
            </w:r>
            <w:bookmarkEnd w:id="72"/>
            <w:r>
              <w:rPr>
                <w:sz w:val="18"/>
                <w:szCs w:val="18"/>
              </w:rPr>
              <w:t xml:space="preserve"> </w:t>
            </w:r>
          </w:p>
          <w:p w14:paraId="0DE46AB3" w14:textId="77777777" w:rsidR="0018393A" w:rsidRDefault="00D55833">
            <w:pPr>
              <w:rPr>
                <w:sz w:val="18"/>
                <w:szCs w:val="18"/>
              </w:rPr>
            </w:pPr>
            <w:r>
              <w:rPr>
                <w:sz w:val="18"/>
                <w:szCs w:val="18"/>
              </w:rPr>
              <w:t xml:space="preserve">Outperforms traditional AMCs in liquidity, aligns with AxTrade’s ART </w:t>
            </w:r>
            <w:bookmarkStart w:id="73" w:name="_Int_CXGSZ4kt"/>
            <w:r>
              <w:rPr>
                <w:sz w:val="18"/>
                <w:szCs w:val="18"/>
              </w:rPr>
              <w:t>vision.</w:t>
            </w:r>
            <w:bookmarkEnd w:id="73"/>
          </w:p>
        </w:tc>
      </w:tr>
    </w:tbl>
    <w:p w14:paraId="780FE1FD" w14:textId="77777777" w:rsidR="0018393A" w:rsidRDefault="0018393A">
      <w:pPr>
        <w:spacing w:before="240" w:after="240"/>
        <w:rPr>
          <w:sz w:val="20"/>
          <w:szCs w:val="20"/>
        </w:rPr>
      </w:pPr>
    </w:p>
    <w:p w14:paraId="145D968E" w14:textId="77777777" w:rsidR="0018393A" w:rsidRDefault="00D55833">
      <w:pPr>
        <w:spacing w:before="240" w:after="240"/>
        <w:rPr>
          <w:sz w:val="20"/>
          <w:szCs w:val="20"/>
        </w:rPr>
      </w:pPr>
      <w:r>
        <w:rPr>
          <w:sz w:val="20"/>
          <w:szCs w:val="20"/>
        </w:rPr>
        <w:t xml:space="preserve">AMCs averaged 11% returns in 2025-2026 approximately, with lower </w:t>
      </w:r>
      <w:bookmarkStart w:id="74" w:name="_Int_SWsFKizB"/>
      <w:r>
        <w:rPr>
          <w:sz w:val="20"/>
          <w:szCs w:val="20"/>
        </w:rPr>
        <w:t>volatility (</w:t>
      </w:r>
      <w:bookmarkEnd w:id="74"/>
      <w:r>
        <w:rPr>
          <w:sz w:val="20"/>
          <w:szCs w:val="20"/>
        </w:rPr>
        <w:t xml:space="preserve">12% avg.) than pure </w:t>
      </w:r>
      <w:bookmarkStart w:id="75" w:name="_Int_y1Ou27OP"/>
      <w:r>
        <w:rPr>
          <w:sz w:val="20"/>
          <w:szCs w:val="20"/>
        </w:rPr>
        <w:t>equities (</w:t>
      </w:r>
      <w:bookmarkEnd w:id="75"/>
      <w:r>
        <w:rPr>
          <w:sz w:val="20"/>
          <w:szCs w:val="20"/>
        </w:rPr>
        <w:t xml:space="preserve">15-20%) per </w:t>
      </w:r>
      <w:bookmarkStart w:id="76" w:name="_Int_GCmzxG5P"/>
      <w:r>
        <w:rPr>
          <w:sz w:val="20"/>
          <w:szCs w:val="20"/>
        </w:rPr>
        <w:t>Bloomberg.</w:t>
      </w:r>
      <w:bookmarkEnd w:id="76"/>
      <w:r>
        <w:rPr>
          <w:sz w:val="20"/>
          <w:szCs w:val="20"/>
        </w:rPr>
        <w:t xml:space="preserve"> Their active adjustments yielded 2-3% alpha, and AUM surged 20%+ amid tokenization </w:t>
      </w:r>
      <w:bookmarkStart w:id="77" w:name="_Int_dSIw1LuV"/>
      <w:r>
        <w:rPr>
          <w:sz w:val="20"/>
          <w:szCs w:val="20"/>
        </w:rPr>
        <w:t>trends (</w:t>
      </w:r>
      <w:bookmarkEnd w:id="77"/>
      <w:r>
        <w:rPr>
          <w:sz w:val="20"/>
          <w:szCs w:val="20"/>
        </w:rPr>
        <w:t>World Economic Forum</w:t>
      </w:r>
      <w:bookmarkStart w:id="78" w:name="_Int_Qd4oD66Q"/>
      <w:r>
        <w:rPr>
          <w:sz w:val="20"/>
          <w:szCs w:val="20"/>
        </w:rPr>
        <w:t>).</w:t>
      </w:r>
      <w:bookmarkEnd w:id="78"/>
      <w:r>
        <w:rPr>
          <w:sz w:val="20"/>
          <w:szCs w:val="20"/>
        </w:rPr>
        <w:t xml:space="preserve"> But the higher </w:t>
      </w:r>
      <w:bookmarkStart w:id="79" w:name="_Int_RcXmjXBF"/>
      <w:r>
        <w:rPr>
          <w:sz w:val="20"/>
          <w:szCs w:val="20"/>
        </w:rPr>
        <w:t>fees (</w:t>
      </w:r>
      <w:bookmarkEnd w:id="79"/>
      <w:r>
        <w:rPr>
          <w:sz w:val="20"/>
          <w:szCs w:val="20"/>
        </w:rPr>
        <w:t xml:space="preserve">1-2%) and liquidity issues in non-listed versions, transition to tokenized formats improves performance by 10-15% via efficiency, supporting AxTrade’s </w:t>
      </w:r>
      <w:bookmarkStart w:id="80" w:name="_Int_4PkhLjGf"/>
      <w:r>
        <w:rPr>
          <w:sz w:val="20"/>
          <w:szCs w:val="20"/>
        </w:rPr>
        <w:t>shift.</w:t>
      </w:r>
      <w:bookmarkEnd w:id="80"/>
      <w:r>
        <w:br w:type="page"/>
      </w:r>
    </w:p>
    <w:p w14:paraId="656591C9" w14:textId="77777777" w:rsidR="0018393A" w:rsidRDefault="00D55833">
      <w:pPr>
        <w:spacing w:before="240" w:after="240"/>
        <w:rPr>
          <w:b/>
          <w:bCs/>
          <w:sz w:val="26"/>
          <w:szCs w:val="26"/>
        </w:rPr>
      </w:pPr>
      <w:r>
        <w:rPr>
          <w:b/>
          <w:bCs/>
          <w:sz w:val="26"/>
          <w:szCs w:val="26"/>
        </w:rPr>
        <w:lastRenderedPageBreak/>
        <w:t>Task 2: Investor Targeting</w:t>
      </w:r>
    </w:p>
    <w:tbl>
      <w:tblPr>
        <w:tblW w:w="27340" w:type="dxa"/>
        <w:tblCellMar>
          <w:top w:w="15" w:type="dxa"/>
          <w:left w:w="15" w:type="dxa"/>
          <w:bottom w:w="15" w:type="dxa"/>
          <w:right w:w="15" w:type="dxa"/>
        </w:tblCellMar>
        <w:tblLook w:val="04A0" w:firstRow="1" w:lastRow="0" w:firstColumn="1" w:lastColumn="0" w:noHBand="0" w:noVBand="1"/>
      </w:tblPr>
      <w:tblGrid>
        <w:gridCol w:w="3835"/>
        <w:gridCol w:w="3197"/>
        <w:gridCol w:w="2498"/>
        <w:gridCol w:w="1719"/>
        <w:gridCol w:w="3836"/>
        <w:gridCol w:w="3836"/>
        <w:gridCol w:w="3839"/>
        <w:gridCol w:w="4580"/>
      </w:tblGrid>
      <w:tr w:rsidR="00746C39" w:rsidRPr="00746C39" w14:paraId="620BD1B2" w14:textId="77777777">
        <w:trPr>
          <w:trHeight w:val="300"/>
        </w:trPr>
        <w:tc>
          <w:tcPr>
            <w:tcW w:w="3840" w:type="dxa"/>
            <w:tcBorders>
              <w:top w:val="nil"/>
              <w:left w:val="nil"/>
              <w:bottom w:val="nil"/>
              <w:right w:val="nil"/>
            </w:tcBorders>
            <w:vAlign w:val="bottom"/>
            <w:hideMark/>
          </w:tcPr>
          <w:p w14:paraId="671D3570" w14:textId="77777777" w:rsidR="00746C39" w:rsidRPr="00746C39" w:rsidRDefault="00746C39" w:rsidP="00746C39">
            <w:pPr>
              <w:spacing w:line="240" w:lineRule="auto"/>
              <w:rPr>
                <w:rFonts w:eastAsia="Times New Roman"/>
                <w:b/>
                <w:bCs/>
                <w:color w:val="000000"/>
                <w:lang w:val="en-HK"/>
              </w:rPr>
            </w:pPr>
            <w:r w:rsidRPr="00746C39">
              <w:rPr>
                <w:rFonts w:eastAsia="Times New Roman"/>
                <w:b/>
                <w:bCs/>
                <w:color w:val="000000"/>
                <w:lang w:val="en-HK"/>
              </w:rPr>
              <w:t>Investor Name/Entity</w:t>
            </w:r>
          </w:p>
        </w:tc>
        <w:tc>
          <w:tcPr>
            <w:tcW w:w="3200" w:type="dxa"/>
            <w:tcBorders>
              <w:top w:val="nil"/>
              <w:left w:val="nil"/>
              <w:bottom w:val="nil"/>
              <w:right w:val="nil"/>
            </w:tcBorders>
            <w:vAlign w:val="bottom"/>
            <w:hideMark/>
          </w:tcPr>
          <w:p w14:paraId="6697E792" w14:textId="77777777" w:rsidR="00746C39" w:rsidRPr="00746C39" w:rsidRDefault="00746C39" w:rsidP="00746C39">
            <w:pPr>
              <w:spacing w:line="240" w:lineRule="auto"/>
              <w:rPr>
                <w:rFonts w:eastAsia="Times New Roman"/>
                <w:b/>
                <w:bCs/>
                <w:color w:val="000000"/>
                <w:lang w:val="en-HK"/>
              </w:rPr>
            </w:pPr>
            <w:r w:rsidRPr="00746C39">
              <w:rPr>
                <w:rFonts w:eastAsia="Times New Roman"/>
                <w:b/>
                <w:bCs/>
                <w:color w:val="000000"/>
                <w:lang w:val="en-HK"/>
              </w:rPr>
              <w:t>Type</w:t>
            </w:r>
          </w:p>
        </w:tc>
        <w:tc>
          <w:tcPr>
            <w:tcW w:w="2500" w:type="dxa"/>
            <w:tcBorders>
              <w:top w:val="nil"/>
              <w:left w:val="nil"/>
              <w:bottom w:val="nil"/>
              <w:right w:val="nil"/>
            </w:tcBorders>
            <w:vAlign w:val="bottom"/>
            <w:hideMark/>
          </w:tcPr>
          <w:p w14:paraId="6C9BBCBB" w14:textId="77777777" w:rsidR="00746C39" w:rsidRPr="00746C39" w:rsidRDefault="00746C39" w:rsidP="00746C39">
            <w:pPr>
              <w:spacing w:line="240" w:lineRule="auto"/>
              <w:rPr>
                <w:rFonts w:eastAsia="Times New Roman"/>
                <w:b/>
                <w:bCs/>
                <w:color w:val="000000"/>
                <w:lang w:val="en-HK"/>
              </w:rPr>
            </w:pPr>
            <w:r w:rsidRPr="00746C39">
              <w:rPr>
                <w:rFonts w:eastAsia="Times New Roman"/>
                <w:b/>
                <w:bCs/>
                <w:color w:val="000000"/>
                <w:lang w:val="en-HK"/>
              </w:rPr>
              <w:t>Location</w:t>
            </w:r>
          </w:p>
        </w:tc>
        <w:tc>
          <w:tcPr>
            <w:tcW w:w="1720" w:type="dxa"/>
            <w:tcBorders>
              <w:top w:val="nil"/>
              <w:left w:val="nil"/>
              <w:bottom w:val="nil"/>
              <w:right w:val="nil"/>
            </w:tcBorders>
            <w:vAlign w:val="bottom"/>
            <w:hideMark/>
          </w:tcPr>
          <w:p w14:paraId="2DA432F8" w14:textId="77777777" w:rsidR="00746C39" w:rsidRPr="00746C39" w:rsidRDefault="00746C39" w:rsidP="00746C39">
            <w:pPr>
              <w:spacing w:line="240" w:lineRule="auto"/>
              <w:rPr>
                <w:rFonts w:eastAsia="Times New Roman"/>
                <w:b/>
                <w:bCs/>
                <w:color w:val="000000"/>
                <w:lang w:val="en-HK"/>
              </w:rPr>
            </w:pPr>
            <w:r w:rsidRPr="00746C39">
              <w:rPr>
                <w:rFonts w:eastAsia="Times New Roman"/>
                <w:b/>
                <w:bCs/>
                <w:color w:val="000000"/>
                <w:lang w:val="en-HK"/>
              </w:rPr>
              <w:t>AUM/Net Worth</w:t>
            </w:r>
          </w:p>
        </w:tc>
        <w:tc>
          <w:tcPr>
            <w:tcW w:w="3840" w:type="dxa"/>
            <w:tcBorders>
              <w:top w:val="nil"/>
              <w:left w:val="nil"/>
              <w:bottom w:val="nil"/>
              <w:right w:val="nil"/>
            </w:tcBorders>
            <w:vAlign w:val="bottom"/>
            <w:hideMark/>
          </w:tcPr>
          <w:p w14:paraId="0F441044" w14:textId="77777777" w:rsidR="00746C39" w:rsidRPr="00746C39" w:rsidRDefault="00746C39" w:rsidP="00746C39">
            <w:pPr>
              <w:spacing w:line="240" w:lineRule="auto"/>
              <w:rPr>
                <w:rFonts w:eastAsia="Times New Roman"/>
                <w:b/>
                <w:bCs/>
                <w:color w:val="000000"/>
                <w:lang w:val="en-HK"/>
              </w:rPr>
            </w:pPr>
            <w:r w:rsidRPr="00746C39">
              <w:rPr>
                <w:rFonts w:eastAsia="Times New Roman"/>
                <w:b/>
                <w:bCs/>
                <w:color w:val="000000"/>
                <w:lang w:val="en-HK"/>
              </w:rPr>
              <w:t>Investment History</w:t>
            </w:r>
          </w:p>
        </w:tc>
        <w:tc>
          <w:tcPr>
            <w:tcW w:w="3840" w:type="dxa"/>
            <w:tcBorders>
              <w:top w:val="nil"/>
              <w:left w:val="nil"/>
              <w:bottom w:val="nil"/>
              <w:right w:val="nil"/>
            </w:tcBorders>
            <w:vAlign w:val="bottom"/>
            <w:hideMark/>
          </w:tcPr>
          <w:p w14:paraId="4130AEB6" w14:textId="77777777" w:rsidR="00746C39" w:rsidRPr="00746C39" w:rsidRDefault="00746C39" w:rsidP="00746C39">
            <w:pPr>
              <w:spacing w:line="240" w:lineRule="auto"/>
              <w:rPr>
                <w:rFonts w:eastAsia="Times New Roman"/>
                <w:b/>
                <w:bCs/>
                <w:color w:val="000000"/>
                <w:lang w:val="en-HK"/>
              </w:rPr>
            </w:pPr>
            <w:r w:rsidRPr="00746C39">
              <w:rPr>
                <w:rFonts w:eastAsia="Times New Roman"/>
                <w:b/>
                <w:bCs/>
                <w:color w:val="000000"/>
                <w:lang w:val="en-HK"/>
              </w:rPr>
              <w:t>Preferences</w:t>
            </w:r>
          </w:p>
        </w:tc>
        <w:tc>
          <w:tcPr>
            <w:tcW w:w="3840" w:type="dxa"/>
            <w:tcBorders>
              <w:top w:val="nil"/>
              <w:left w:val="nil"/>
              <w:bottom w:val="nil"/>
              <w:right w:val="nil"/>
            </w:tcBorders>
            <w:vAlign w:val="bottom"/>
            <w:hideMark/>
          </w:tcPr>
          <w:p w14:paraId="03AB43D4" w14:textId="77777777" w:rsidR="00746C39" w:rsidRPr="00746C39" w:rsidRDefault="00746C39" w:rsidP="00746C39">
            <w:pPr>
              <w:spacing w:line="240" w:lineRule="auto"/>
              <w:rPr>
                <w:rFonts w:eastAsia="Times New Roman"/>
                <w:b/>
                <w:bCs/>
                <w:color w:val="000000"/>
                <w:lang w:val="en-HK"/>
              </w:rPr>
            </w:pPr>
            <w:r w:rsidRPr="00746C39">
              <w:rPr>
                <w:rFonts w:eastAsia="Times New Roman"/>
                <w:b/>
                <w:bCs/>
                <w:color w:val="000000"/>
                <w:lang w:val="en-HK"/>
              </w:rPr>
              <w:t>Contact Notes</w:t>
            </w:r>
          </w:p>
        </w:tc>
        <w:tc>
          <w:tcPr>
            <w:tcW w:w="4580" w:type="dxa"/>
            <w:tcBorders>
              <w:top w:val="nil"/>
              <w:left w:val="nil"/>
              <w:bottom w:val="nil"/>
              <w:right w:val="nil"/>
            </w:tcBorders>
            <w:noWrap/>
            <w:vAlign w:val="bottom"/>
            <w:hideMark/>
          </w:tcPr>
          <w:p w14:paraId="5C55C8F9"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Remarks</w:t>
            </w:r>
          </w:p>
        </w:tc>
      </w:tr>
      <w:tr w:rsidR="00746C39" w:rsidRPr="00746C39" w14:paraId="65A1C30A" w14:textId="77777777">
        <w:trPr>
          <w:trHeight w:val="795"/>
        </w:trPr>
        <w:tc>
          <w:tcPr>
            <w:tcW w:w="3840" w:type="dxa"/>
            <w:tcBorders>
              <w:top w:val="nil"/>
              <w:left w:val="nil"/>
              <w:bottom w:val="nil"/>
              <w:right w:val="nil"/>
            </w:tcBorders>
            <w:vAlign w:val="bottom"/>
            <w:hideMark/>
          </w:tcPr>
          <w:p w14:paraId="7A788050"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Li Ka-shing Foundation (via Horizons Ventures)</w:t>
            </w:r>
          </w:p>
        </w:tc>
        <w:tc>
          <w:tcPr>
            <w:tcW w:w="3200" w:type="dxa"/>
            <w:tcBorders>
              <w:top w:val="nil"/>
              <w:left w:val="nil"/>
              <w:bottom w:val="nil"/>
              <w:right w:val="nil"/>
            </w:tcBorders>
            <w:vAlign w:val="bottom"/>
            <w:hideMark/>
          </w:tcPr>
          <w:p w14:paraId="7BDF776B"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Family Office</w:t>
            </w:r>
          </w:p>
        </w:tc>
        <w:tc>
          <w:tcPr>
            <w:tcW w:w="2500" w:type="dxa"/>
            <w:tcBorders>
              <w:top w:val="nil"/>
              <w:left w:val="nil"/>
              <w:bottom w:val="nil"/>
              <w:right w:val="nil"/>
            </w:tcBorders>
            <w:vAlign w:val="bottom"/>
            <w:hideMark/>
          </w:tcPr>
          <w:p w14:paraId="46F5358A"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Hong Kong</w:t>
            </w:r>
          </w:p>
        </w:tc>
        <w:tc>
          <w:tcPr>
            <w:tcW w:w="1720" w:type="dxa"/>
            <w:tcBorders>
              <w:top w:val="nil"/>
              <w:left w:val="nil"/>
              <w:bottom w:val="nil"/>
              <w:right w:val="nil"/>
            </w:tcBorders>
            <w:vAlign w:val="bottom"/>
            <w:hideMark/>
          </w:tcPr>
          <w:p w14:paraId="4813B7BD"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$30B+</w:t>
            </w:r>
          </w:p>
        </w:tc>
        <w:tc>
          <w:tcPr>
            <w:tcW w:w="3840" w:type="dxa"/>
            <w:tcBorders>
              <w:top w:val="nil"/>
              <w:left w:val="nil"/>
              <w:bottom w:val="nil"/>
              <w:right w:val="nil"/>
            </w:tcBorders>
            <w:vAlign w:val="bottom"/>
            <w:hideMark/>
          </w:tcPr>
          <w:p w14:paraId="377CA7E0"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Invested in blockchain (e.g. BitPay, $100M+ in crypto RWAs 2024-2026 per Bloomberg)</w:t>
            </w:r>
          </w:p>
        </w:tc>
        <w:tc>
          <w:tcPr>
            <w:tcW w:w="3840" w:type="dxa"/>
            <w:tcBorders>
              <w:top w:val="nil"/>
              <w:left w:val="nil"/>
              <w:bottom w:val="nil"/>
              <w:right w:val="nil"/>
            </w:tcBorders>
            <w:vAlign w:val="bottom"/>
            <w:hideMark/>
          </w:tcPr>
          <w:p w14:paraId="44410A86"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Tokenized equities or commodities for diversification, usually ESG focus</w:t>
            </w:r>
          </w:p>
        </w:tc>
        <w:tc>
          <w:tcPr>
            <w:tcW w:w="3840" w:type="dxa"/>
            <w:tcBorders>
              <w:top w:val="nil"/>
              <w:left w:val="nil"/>
              <w:bottom w:val="nil"/>
              <w:right w:val="nil"/>
            </w:tcBorders>
            <w:vAlign w:val="bottom"/>
            <w:hideMark/>
          </w:tcPr>
          <w:p w14:paraId="0E3DA1D5" w14:textId="77777777" w:rsidR="00746C39" w:rsidRPr="00746C39" w:rsidRDefault="00746C39" w:rsidP="00746C39">
            <w:pPr>
              <w:spacing w:line="240" w:lineRule="auto"/>
              <w:rPr>
                <w:rFonts w:ascii="Aptos Narrow" w:eastAsia="Times New Roman" w:hAnsi="Aptos Narrow" w:cs="Times New Roman"/>
                <w:color w:val="467886"/>
                <w:u w:val="single"/>
                <w:lang w:val="en-HK"/>
              </w:rPr>
            </w:pPr>
            <w:hyperlink r:id="rId7" w:history="1">
              <w:r w:rsidRPr="00746C39">
                <w:rPr>
                  <w:rFonts w:ascii="Aptos Narrow" w:eastAsia="Times New Roman" w:hAnsi="Aptos Narrow" w:cs="Times New Roman"/>
                  <w:color w:val="467886"/>
                  <w:u w:val="single"/>
                  <w:lang w:val="en-HK"/>
                </w:rPr>
                <w:t xml:space="preserve">horizons@likashingfoundation.org </w:t>
              </w:r>
            </w:hyperlink>
          </w:p>
        </w:tc>
        <w:tc>
          <w:tcPr>
            <w:tcW w:w="0" w:type="auto"/>
            <w:tcBorders>
              <w:top w:val="nil"/>
              <w:left w:val="nil"/>
              <w:bottom w:val="nil"/>
              <w:right w:val="nil"/>
            </w:tcBorders>
            <w:noWrap/>
            <w:vAlign w:val="bottom"/>
            <w:hideMark/>
          </w:tcPr>
          <w:p w14:paraId="6D76121D"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Quite active in HK fintech events</w:t>
            </w:r>
          </w:p>
        </w:tc>
      </w:tr>
      <w:tr w:rsidR="00746C39" w:rsidRPr="00746C39" w14:paraId="0D7A65DE" w14:textId="77777777">
        <w:trPr>
          <w:trHeight w:val="300"/>
        </w:trPr>
        <w:tc>
          <w:tcPr>
            <w:tcW w:w="3840" w:type="dxa"/>
            <w:tcBorders>
              <w:top w:val="nil"/>
              <w:left w:val="nil"/>
              <w:bottom w:val="nil"/>
              <w:right w:val="nil"/>
            </w:tcBorders>
            <w:vAlign w:val="bottom"/>
            <w:hideMark/>
          </w:tcPr>
          <w:p w14:paraId="09C4550A" w14:textId="77777777" w:rsidR="00746C39" w:rsidRPr="00746C39" w:rsidRDefault="00746C39" w:rsidP="00746C39">
            <w:pPr>
              <w:spacing w:line="240" w:lineRule="auto"/>
              <w:rPr>
                <w:rFonts w:ascii="Aptos Narrow" w:eastAsia="Times New Roman" w:hAnsi="Aptos Narrow" w:cs="Times New Roman"/>
                <w:color w:val="000000"/>
                <w:lang w:val="en-HK"/>
              </w:rPr>
            </w:pPr>
          </w:p>
        </w:tc>
        <w:tc>
          <w:tcPr>
            <w:tcW w:w="3200" w:type="dxa"/>
            <w:tcBorders>
              <w:top w:val="nil"/>
              <w:left w:val="nil"/>
              <w:bottom w:val="nil"/>
              <w:right w:val="nil"/>
            </w:tcBorders>
            <w:vAlign w:val="bottom"/>
            <w:hideMark/>
          </w:tcPr>
          <w:p w14:paraId="4BFF2484"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2500" w:type="dxa"/>
            <w:tcBorders>
              <w:top w:val="nil"/>
              <w:left w:val="nil"/>
              <w:bottom w:val="nil"/>
              <w:right w:val="nil"/>
            </w:tcBorders>
            <w:vAlign w:val="bottom"/>
            <w:hideMark/>
          </w:tcPr>
          <w:p w14:paraId="1628CB86"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1720" w:type="dxa"/>
            <w:tcBorders>
              <w:top w:val="nil"/>
              <w:left w:val="nil"/>
              <w:bottom w:val="nil"/>
              <w:right w:val="nil"/>
            </w:tcBorders>
            <w:vAlign w:val="bottom"/>
            <w:hideMark/>
          </w:tcPr>
          <w:p w14:paraId="361498EA"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4F3B1C8D"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29C33B5E"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41C95F70"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0" w:type="auto"/>
            <w:tcBorders>
              <w:top w:val="nil"/>
              <w:left w:val="nil"/>
              <w:bottom w:val="nil"/>
              <w:right w:val="nil"/>
            </w:tcBorders>
            <w:noWrap/>
            <w:vAlign w:val="bottom"/>
            <w:hideMark/>
          </w:tcPr>
          <w:p w14:paraId="655F20CE"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r>
      <w:tr w:rsidR="00746C39" w:rsidRPr="00746C39" w14:paraId="64CDECD2" w14:textId="77777777">
        <w:trPr>
          <w:trHeight w:val="540"/>
        </w:trPr>
        <w:tc>
          <w:tcPr>
            <w:tcW w:w="3840" w:type="dxa"/>
            <w:tcBorders>
              <w:top w:val="nil"/>
              <w:left w:val="nil"/>
              <w:bottom w:val="nil"/>
              <w:right w:val="nil"/>
            </w:tcBorders>
            <w:vAlign w:val="bottom"/>
            <w:hideMark/>
          </w:tcPr>
          <w:p w14:paraId="2BA29FC2"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Temasek Holdings (Family-linked)</w:t>
            </w:r>
          </w:p>
        </w:tc>
        <w:tc>
          <w:tcPr>
            <w:tcW w:w="3200" w:type="dxa"/>
            <w:tcBorders>
              <w:top w:val="nil"/>
              <w:left w:val="nil"/>
              <w:bottom w:val="nil"/>
              <w:right w:val="nil"/>
            </w:tcBorders>
            <w:vAlign w:val="bottom"/>
            <w:hideMark/>
          </w:tcPr>
          <w:p w14:paraId="18D7B277"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Sovereign &amp; Family Office</w:t>
            </w:r>
          </w:p>
        </w:tc>
        <w:tc>
          <w:tcPr>
            <w:tcW w:w="2500" w:type="dxa"/>
            <w:tcBorders>
              <w:top w:val="nil"/>
              <w:left w:val="nil"/>
              <w:bottom w:val="nil"/>
              <w:right w:val="nil"/>
            </w:tcBorders>
            <w:vAlign w:val="bottom"/>
            <w:hideMark/>
          </w:tcPr>
          <w:p w14:paraId="25E642AB"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Singapore (HK ties)</w:t>
            </w:r>
          </w:p>
        </w:tc>
        <w:tc>
          <w:tcPr>
            <w:tcW w:w="1720" w:type="dxa"/>
            <w:tcBorders>
              <w:top w:val="nil"/>
              <w:left w:val="nil"/>
              <w:bottom w:val="nil"/>
              <w:right w:val="nil"/>
            </w:tcBorders>
            <w:vAlign w:val="bottom"/>
            <w:hideMark/>
          </w:tcPr>
          <w:p w14:paraId="0D985FE2"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$300B+</w:t>
            </w:r>
          </w:p>
        </w:tc>
        <w:tc>
          <w:tcPr>
            <w:tcW w:w="3840" w:type="dxa"/>
            <w:tcBorders>
              <w:top w:val="nil"/>
              <w:left w:val="nil"/>
              <w:bottom w:val="nil"/>
              <w:right w:val="nil"/>
            </w:tcBorders>
            <w:vAlign w:val="bottom"/>
            <w:hideMark/>
          </w:tcPr>
          <w:p w14:paraId="29A318B3"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$500M in tokenized assets (2025 per CNBC)</w:t>
            </w:r>
          </w:p>
        </w:tc>
        <w:tc>
          <w:tcPr>
            <w:tcW w:w="3840" w:type="dxa"/>
            <w:tcBorders>
              <w:top w:val="nil"/>
              <w:left w:val="nil"/>
              <w:bottom w:val="nil"/>
              <w:right w:val="nil"/>
            </w:tcBorders>
            <w:vAlign w:val="bottom"/>
            <w:hideMark/>
          </w:tcPr>
          <w:p w14:paraId="70F75C52"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Global macro strategies with high liquidity via blockchain</w:t>
            </w:r>
          </w:p>
        </w:tc>
        <w:tc>
          <w:tcPr>
            <w:tcW w:w="3840" w:type="dxa"/>
            <w:tcBorders>
              <w:top w:val="nil"/>
              <w:left w:val="nil"/>
              <w:bottom w:val="nil"/>
              <w:right w:val="nil"/>
            </w:tcBorders>
            <w:vAlign w:val="bottom"/>
            <w:hideMark/>
          </w:tcPr>
          <w:p w14:paraId="5C9DB910" w14:textId="77777777" w:rsidR="00746C39" w:rsidRPr="00746C39" w:rsidRDefault="00746C39" w:rsidP="00746C39">
            <w:pPr>
              <w:spacing w:line="240" w:lineRule="auto"/>
              <w:rPr>
                <w:rFonts w:ascii="Aptos Narrow" w:eastAsia="Times New Roman" w:hAnsi="Aptos Narrow" w:cs="Times New Roman"/>
                <w:color w:val="467886"/>
                <w:u w:val="single"/>
                <w:lang w:val="en-HK"/>
              </w:rPr>
            </w:pPr>
            <w:hyperlink r:id="rId8" w:history="1">
              <w:r w:rsidRPr="00746C39">
                <w:rPr>
                  <w:rFonts w:ascii="Aptos Narrow" w:eastAsia="Times New Roman" w:hAnsi="Aptos Narrow" w:cs="Times New Roman"/>
                  <w:color w:val="467886"/>
                  <w:u w:val="single"/>
                  <w:lang w:val="en-HK"/>
                </w:rPr>
                <w:t>investorrelations@temasek.com.sg</w:t>
              </w:r>
            </w:hyperlink>
          </w:p>
        </w:tc>
        <w:tc>
          <w:tcPr>
            <w:tcW w:w="0" w:type="auto"/>
            <w:tcBorders>
              <w:top w:val="nil"/>
              <w:left w:val="nil"/>
              <w:bottom w:val="nil"/>
              <w:right w:val="nil"/>
            </w:tcBorders>
            <w:noWrap/>
            <w:vAlign w:val="bottom"/>
            <w:hideMark/>
          </w:tcPr>
          <w:p w14:paraId="29D17DA5"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Preferences for MiCA-compliant</w:t>
            </w:r>
          </w:p>
        </w:tc>
      </w:tr>
      <w:tr w:rsidR="00746C39" w:rsidRPr="00746C39" w14:paraId="59806112" w14:textId="77777777">
        <w:trPr>
          <w:trHeight w:val="300"/>
        </w:trPr>
        <w:tc>
          <w:tcPr>
            <w:tcW w:w="3840" w:type="dxa"/>
            <w:tcBorders>
              <w:top w:val="nil"/>
              <w:left w:val="nil"/>
              <w:bottom w:val="nil"/>
              <w:right w:val="nil"/>
            </w:tcBorders>
            <w:vAlign w:val="bottom"/>
            <w:hideMark/>
          </w:tcPr>
          <w:p w14:paraId="4B0311E0" w14:textId="77777777" w:rsidR="00746C39" w:rsidRPr="00746C39" w:rsidRDefault="00746C39" w:rsidP="00746C39">
            <w:pPr>
              <w:spacing w:line="240" w:lineRule="auto"/>
              <w:rPr>
                <w:rFonts w:ascii="Aptos Narrow" w:eastAsia="Times New Roman" w:hAnsi="Aptos Narrow" w:cs="Times New Roman"/>
                <w:color w:val="000000"/>
                <w:lang w:val="en-HK"/>
              </w:rPr>
            </w:pPr>
          </w:p>
        </w:tc>
        <w:tc>
          <w:tcPr>
            <w:tcW w:w="3200" w:type="dxa"/>
            <w:tcBorders>
              <w:top w:val="nil"/>
              <w:left w:val="nil"/>
              <w:bottom w:val="nil"/>
              <w:right w:val="nil"/>
            </w:tcBorders>
            <w:vAlign w:val="bottom"/>
            <w:hideMark/>
          </w:tcPr>
          <w:p w14:paraId="4FD19331"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2500" w:type="dxa"/>
            <w:tcBorders>
              <w:top w:val="nil"/>
              <w:left w:val="nil"/>
              <w:bottom w:val="nil"/>
              <w:right w:val="nil"/>
            </w:tcBorders>
            <w:vAlign w:val="bottom"/>
            <w:hideMark/>
          </w:tcPr>
          <w:p w14:paraId="3608B051"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1720" w:type="dxa"/>
            <w:tcBorders>
              <w:top w:val="nil"/>
              <w:left w:val="nil"/>
              <w:bottom w:val="nil"/>
              <w:right w:val="nil"/>
            </w:tcBorders>
            <w:vAlign w:val="bottom"/>
            <w:hideMark/>
          </w:tcPr>
          <w:p w14:paraId="0660F463"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508C2F17"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AMC-like funds in commodities</w:t>
            </w:r>
          </w:p>
        </w:tc>
        <w:tc>
          <w:tcPr>
            <w:tcW w:w="3840" w:type="dxa"/>
            <w:tcBorders>
              <w:top w:val="nil"/>
              <w:left w:val="nil"/>
              <w:bottom w:val="nil"/>
              <w:right w:val="nil"/>
            </w:tcBorders>
            <w:vAlign w:val="bottom"/>
            <w:hideMark/>
          </w:tcPr>
          <w:p w14:paraId="2CF756E1" w14:textId="77777777" w:rsidR="00746C39" w:rsidRPr="00746C39" w:rsidRDefault="00746C39" w:rsidP="00746C39">
            <w:pPr>
              <w:spacing w:line="240" w:lineRule="auto"/>
              <w:rPr>
                <w:rFonts w:eastAsia="Times New Roman"/>
                <w:color w:val="000000"/>
                <w:lang w:val="en-HK"/>
              </w:rPr>
            </w:pPr>
          </w:p>
        </w:tc>
        <w:tc>
          <w:tcPr>
            <w:tcW w:w="3840" w:type="dxa"/>
            <w:tcBorders>
              <w:top w:val="nil"/>
              <w:left w:val="nil"/>
              <w:bottom w:val="nil"/>
              <w:right w:val="nil"/>
            </w:tcBorders>
            <w:vAlign w:val="bottom"/>
            <w:hideMark/>
          </w:tcPr>
          <w:p w14:paraId="27CCC131"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0" w:type="auto"/>
            <w:tcBorders>
              <w:top w:val="nil"/>
              <w:left w:val="nil"/>
              <w:bottom w:val="nil"/>
              <w:right w:val="nil"/>
            </w:tcBorders>
            <w:noWrap/>
            <w:vAlign w:val="bottom"/>
            <w:hideMark/>
          </w:tcPr>
          <w:p w14:paraId="751C4B44"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r>
      <w:tr w:rsidR="00746C39" w:rsidRPr="00746C39" w14:paraId="68E7C8D3" w14:textId="77777777">
        <w:trPr>
          <w:trHeight w:val="540"/>
        </w:trPr>
        <w:tc>
          <w:tcPr>
            <w:tcW w:w="3840" w:type="dxa"/>
            <w:tcBorders>
              <w:top w:val="nil"/>
              <w:left w:val="nil"/>
              <w:bottom w:val="nil"/>
              <w:right w:val="nil"/>
            </w:tcBorders>
            <w:vAlign w:val="bottom"/>
            <w:hideMark/>
          </w:tcPr>
          <w:p w14:paraId="2D18C2A3"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Victor Fung (Fung Family Office)</w:t>
            </w:r>
          </w:p>
        </w:tc>
        <w:tc>
          <w:tcPr>
            <w:tcW w:w="3200" w:type="dxa"/>
            <w:tcBorders>
              <w:top w:val="nil"/>
              <w:left w:val="nil"/>
              <w:bottom w:val="nil"/>
              <w:right w:val="nil"/>
            </w:tcBorders>
            <w:vAlign w:val="bottom"/>
            <w:hideMark/>
          </w:tcPr>
          <w:p w14:paraId="29EFAB8D"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HNWI &amp; Family Office</w:t>
            </w:r>
          </w:p>
        </w:tc>
        <w:tc>
          <w:tcPr>
            <w:tcW w:w="2500" w:type="dxa"/>
            <w:tcBorders>
              <w:top w:val="nil"/>
              <w:left w:val="nil"/>
              <w:bottom w:val="nil"/>
              <w:right w:val="nil"/>
            </w:tcBorders>
            <w:vAlign w:val="bottom"/>
            <w:hideMark/>
          </w:tcPr>
          <w:p w14:paraId="6A950CDF"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Hong Kong</w:t>
            </w:r>
          </w:p>
        </w:tc>
        <w:tc>
          <w:tcPr>
            <w:tcW w:w="1720" w:type="dxa"/>
            <w:tcBorders>
              <w:top w:val="nil"/>
              <w:left w:val="nil"/>
              <w:bottom w:val="nil"/>
              <w:right w:val="nil"/>
            </w:tcBorders>
            <w:vAlign w:val="bottom"/>
            <w:hideMark/>
          </w:tcPr>
          <w:p w14:paraId="731BC03E"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$10B+</w:t>
            </w:r>
          </w:p>
        </w:tc>
        <w:tc>
          <w:tcPr>
            <w:tcW w:w="3840" w:type="dxa"/>
            <w:tcBorders>
              <w:top w:val="nil"/>
              <w:left w:val="nil"/>
              <w:bottom w:val="nil"/>
              <w:right w:val="nil"/>
            </w:tcBorders>
            <w:vAlign w:val="bottom"/>
            <w:hideMark/>
          </w:tcPr>
          <w:p w14:paraId="0AAB06AF"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Real estate tokenization ($200M in RWAs 2026 per Yahoo Finance)</w:t>
            </w:r>
          </w:p>
        </w:tc>
        <w:tc>
          <w:tcPr>
            <w:tcW w:w="3840" w:type="dxa"/>
            <w:tcBorders>
              <w:top w:val="nil"/>
              <w:left w:val="nil"/>
              <w:bottom w:val="nil"/>
              <w:right w:val="nil"/>
            </w:tcBorders>
            <w:vAlign w:val="bottom"/>
            <w:hideMark/>
          </w:tcPr>
          <w:p w14:paraId="5E2C1A4D"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Yield-enhancing AMCs, equities with commodities hedge</w:t>
            </w:r>
          </w:p>
        </w:tc>
        <w:tc>
          <w:tcPr>
            <w:tcW w:w="3840" w:type="dxa"/>
            <w:tcBorders>
              <w:top w:val="nil"/>
              <w:left w:val="nil"/>
              <w:bottom w:val="nil"/>
              <w:right w:val="nil"/>
            </w:tcBorders>
            <w:vAlign w:val="bottom"/>
            <w:hideMark/>
          </w:tcPr>
          <w:p w14:paraId="5CF9D4B0" w14:textId="77777777" w:rsidR="00746C39" w:rsidRPr="00746C39" w:rsidRDefault="00746C39" w:rsidP="00746C39">
            <w:pPr>
              <w:spacing w:line="240" w:lineRule="auto"/>
              <w:rPr>
                <w:rFonts w:ascii="Aptos Narrow" w:eastAsia="Times New Roman" w:hAnsi="Aptos Narrow" w:cs="Times New Roman"/>
                <w:color w:val="467886"/>
                <w:u w:val="single"/>
                <w:lang w:val="en-HK"/>
              </w:rPr>
            </w:pPr>
            <w:hyperlink r:id="rId9" w:history="1">
              <w:r w:rsidRPr="00746C39">
                <w:rPr>
                  <w:rFonts w:ascii="Aptos Narrow" w:eastAsia="Times New Roman" w:hAnsi="Aptos Narrow" w:cs="Times New Roman"/>
                  <w:color w:val="467886"/>
                  <w:u w:val="single"/>
                  <w:lang w:val="en-HK"/>
                </w:rPr>
                <w:t>fungfamily@liandfung.com </w:t>
              </w:r>
            </w:hyperlink>
          </w:p>
        </w:tc>
        <w:tc>
          <w:tcPr>
            <w:tcW w:w="0" w:type="auto"/>
            <w:tcBorders>
              <w:top w:val="nil"/>
              <w:left w:val="nil"/>
              <w:bottom w:val="nil"/>
              <w:right w:val="nil"/>
            </w:tcBorders>
            <w:noWrap/>
            <w:vAlign w:val="bottom"/>
            <w:hideMark/>
          </w:tcPr>
          <w:p w14:paraId="7761402C"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History in Asia supply chain investments</w:t>
            </w:r>
          </w:p>
        </w:tc>
      </w:tr>
      <w:tr w:rsidR="00746C39" w:rsidRPr="00746C39" w14:paraId="76BCA6A7" w14:textId="77777777">
        <w:trPr>
          <w:trHeight w:val="300"/>
        </w:trPr>
        <w:tc>
          <w:tcPr>
            <w:tcW w:w="3840" w:type="dxa"/>
            <w:tcBorders>
              <w:top w:val="nil"/>
              <w:left w:val="nil"/>
              <w:bottom w:val="nil"/>
              <w:right w:val="nil"/>
            </w:tcBorders>
            <w:vAlign w:val="bottom"/>
            <w:hideMark/>
          </w:tcPr>
          <w:p w14:paraId="1F1035A0" w14:textId="77777777" w:rsidR="00746C39" w:rsidRPr="00746C39" w:rsidRDefault="00746C39" w:rsidP="00746C39">
            <w:pPr>
              <w:spacing w:line="240" w:lineRule="auto"/>
              <w:rPr>
                <w:rFonts w:ascii="Aptos Narrow" w:eastAsia="Times New Roman" w:hAnsi="Aptos Narrow" w:cs="Times New Roman"/>
                <w:color w:val="000000"/>
                <w:lang w:val="en-HK"/>
              </w:rPr>
            </w:pPr>
          </w:p>
        </w:tc>
        <w:tc>
          <w:tcPr>
            <w:tcW w:w="3200" w:type="dxa"/>
            <w:tcBorders>
              <w:top w:val="nil"/>
              <w:left w:val="nil"/>
              <w:bottom w:val="nil"/>
              <w:right w:val="nil"/>
            </w:tcBorders>
            <w:vAlign w:val="bottom"/>
            <w:hideMark/>
          </w:tcPr>
          <w:p w14:paraId="4BE5EEFA"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2500" w:type="dxa"/>
            <w:tcBorders>
              <w:top w:val="nil"/>
              <w:left w:val="nil"/>
              <w:bottom w:val="nil"/>
              <w:right w:val="nil"/>
            </w:tcBorders>
            <w:vAlign w:val="bottom"/>
            <w:hideMark/>
          </w:tcPr>
          <w:p w14:paraId="4F0DBAF8"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1720" w:type="dxa"/>
            <w:tcBorders>
              <w:top w:val="nil"/>
              <w:left w:val="nil"/>
              <w:bottom w:val="nil"/>
              <w:right w:val="nil"/>
            </w:tcBorders>
            <w:vAlign w:val="bottom"/>
            <w:hideMark/>
          </w:tcPr>
          <w:p w14:paraId="5CCAA73D"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657EC59F"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4B704545"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2D1E401C"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0" w:type="auto"/>
            <w:tcBorders>
              <w:top w:val="nil"/>
              <w:left w:val="nil"/>
              <w:bottom w:val="nil"/>
              <w:right w:val="nil"/>
            </w:tcBorders>
            <w:noWrap/>
            <w:vAlign w:val="bottom"/>
            <w:hideMark/>
          </w:tcPr>
          <w:p w14:paraId="7C8E360E"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r>
      <w:tr w:rsidR="00746C39" w:rsidRPr="00746C39" w14:paraId="53BEEC3B" w14:textId="77777777">
        <w:trPr>
          <w:trHeight w:val="540"/>
        </w:trPr>
        <w:tc>
          <w:tcPr>
            <w:tcW w:w="3840" w:type="dxa"/>
            <w:tcBorders>
              <w:top w:val="nil"/>
              <w:left w:val="nil"/>
              <w:bottom w:val="nil"/>
              <w:right w:val="nil"/>
            </w:tcBorders>
            <w:vAlign w:val="bottom"/>
            <w:hideMark/>
          </w:tcPr>
          <w:p w14:paraId="3E524057"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BlackRock Asia (Institutional Arm)</w:t>
            </w:r>
          </w:p>
        </w:tc>
        <w:tc>
          <w:tcPr>
            <w:tcW w:w="3200" w:type="dxa"/>
            <w:tcBorders>
              <w:top w:val="nil"/>
              <w:left w:val="nil"/>
              <w:bottom w:val="nil"/>
              <w:right w:val="nil"/>
            </w:tcBorders>
            <w:vAlign w:val="bottom"/>
            <w:hideMark/>
          </w:tcPr>
          <w:p w14:paraId="747B2431"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Financial Advisor &amp; Institutional</w:t>
            </w:r>
          </w:p>
        </w:tc>
        <w:tc>
          <w:tcPr>
            <w:tcW w:w="2500" w:type="dxa"/>
            <w:tcBorders>
              <w:top w:val="nil"/>
              <w:left w:val="nil"/>
              <w:bottom w:val="nil"/>
              <w:right w:val="nil"/>
            </w:tcBorders>
            <w:vAlign w:val="bottom"/>
            <w:hideMark/>
          </w:tcPr>
          <w:p w14:paraId="33285CCB"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Hong Kong</w:t>
            </w:r>
          </w:p>
        </w:tc>
        <w:tc>
          <w:tcPr>
            <w:tcW w:w="1720" w:type="dxa"/>
            <w:tcBorders>
              <w:top w:val="nil"/>
              <w:left w:val="nil"/>
              <w:bottom w:val="nil"/>
              <w:right w:val="nil"/>
            </w:tcBorders>
            <w:vAlign w:val="bottom"/>
            <w:hideMark/>
          </w:tcPr>
          <w:p w14:paraId="2E7CAE4A"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$10T+ global</w:t>
            </w:r>
          </w:p>
        </w:tc>
        <w:tc>
          <w:tcPr>
            <w:tcW w:w="3840" w:type="dxa"/>
            <w:tcBorders>
              <w:top w:val="nil"/>
              <w:left w:val="nil"/>
              <w:bottom w:val="nil"/>
              <w:right w:val="nil"/>
            </w:tcBorders>
            <w:vAlign w:val="bottom"/>
            <w:hideMark/>
          </w:tcPr>
          <w:p w14:paraId="00371EDC"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$1B+ in tokenized funds (2026 per Sygnum report), ESG AMCs</w:t>
            </w:r>
          </w:p>
        </w:tc>
        <w:tc>
          <w:tcPr>
            <w:tcW w:w="3840" w:type="dxa"/>
            <w:tcBorders>
              <w:top w:val="nil"/>
              <w:left w:val="nil"/>
              <w:bottom w:val="nil"/>
              <w:right w:val="nil"/>
            </w:tcBorders>
            <w:vAlign w:val="bottom"/>
            <w:hideMark/>
          </w:tcPr>
          <w:p w14:paraId="5DA78675"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RWA tokenization for clients and with stable returns</w:t>
            </w:r>
          </w:p>
        </w:tc>
        <w:tc>
          <w:tcPr>
            <w:tcW w:w="3840" w:type="dxa"/>
            <w:tcBorders>
              <w:top w:val="nil"/>
              <w:left w:val="nil"/>
              <w:bottom w:val="nil"/>
              <w:right w:val="nil"/>
            </w:tcBorders>
            <w:vAlign w:val="bottom"/>
            <w:hideMark/>
          </w:tcPr>
          <w:p w14:paraId="7EDE1A9B" w14:textId="77777777" w:rsidR="00746C39" w:rsidRPr="00746C39" w:rsidRDefault="00746C39" w:rsidP="00746C39">
            <w:pPr>
              <w:spacing w:line="240" w:lineRule="auto"/>
              <w:rPr>
                <w:rFonts w:ascii="Aptos Narrow" w:eastAsia="Times New Roman" w:hAnsi="Aptos Narrow" w:cs="Times New Roman"/>
                <w:color w:val="467886"/>
                <w:u w:val="single"/>
                <w:lang w:val="en-HK"/>
              </w:rPr>
            </w:pPr>
            <w:hyperlink r:id="rId10" w:history="1">
              <w:r w:rsidRPr="00746C39">
                <w:rPr>
                  <w:rFonts w:ascii="Aptos Narrow" w:eastAsia="Times New Roman" w:hAnsi="Aptos Narrow" w:cs="Times New Roman"/>
                  <w:color w:val="467886"/>
                  <w:u w:val="single"/>
                  <w:lang w:val="en-HK"/>
                </w:rPr>
                <w:t>apac@blackrock.com</w:t>
              </w:r>
            </w:hyperlink>
          </w:p>
        </w:tc>
        <w:tc>
          <w:tcPr>
            <w:tcW w:w="0" w:type="auto"/>
            <w:tcBorders>
              <w:top w:val="nil"/>
              <w:left w:val="nil"/>
              <w:bottom w:val="nil"/>
              <w:right w:val="nil"/>
            </w:tcBorders>
            <w:noWrap/>
            <w:vAlign w:val="bottom"/>
            <w:hideMark/>
          </w:tcPr>
          <w:p w14:paraId="29AFAE50"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Preferences for regulated (MiCA) portfolios</w:t>
            </w:r>
          </w:p>
        </w:tc>
      </w:tr>
      <w:tr w:rsidR="00746C39" w:rsidRPr="00746C39" w14:paraId="19E58A31" w14:textId="77777777">
        <w:trPr>
          <w:trHeight w:val="300"/>
        </w:trPr>
        <w:tc>
          <w:tcPr>
            <w:tcW w:w="3840" w:type="dxa"/>
            <w:tcBorders>
              <w:top w:val="nil"/>
              <w:left w:val="nil"/>
              <w:bottom w:val="nil"/>
              <w:right w:val="nil"/>
            </w:tcBorders>
            <w:vAlign w:val="bottom"/>
            <w:hideMark/>
          </w:tcPr>
          <w:p w14:paraId="5E7983F9" w14:textId="77777777" w:rsidR="00746C39" w:rsidRPr="00746C39" w:rsidRDefault="00746C39" w:rsidP="00746C39">
            <w:pPr>
              <w:spacing w:line="240" w:lineRule="auto"/>
              <w:rPr>
                <w:rFonts w:ascii="Aptos Narrow" w:eastAsia="Times New Roman" w:hAnsi="Aptos Narrow" w:cs="Times New Roman"/>
                <w:color w:val="000000"/>
                <w:lang w:val="en-HK"/>
              </w:rPr>
            </w:pPr>
          </w:p>
        </w:tc>
        <w:tc>
          <w:tcPr>
            <w:tcW w:w="3200" w:type="dxa"/>
            <w:tcBorders>
              <w:top w:val="nil"/>
              <w:left w:val="nil"/>
              <w:bottom w:val="nil"/>
              <w:right w:val="nil"/>
            </w:tcBorders>
            <w:vAlign w:val="bottom"/>
            <w:hideMark/>
          </w:tcPr>
          <w:p w14:paraId="76C8E0EA"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2500" w:type="dxa"/>
            <w:tcBorders>
              <w:top w:val="nil"/>
              <w:left w:val="nil"/>
              <w:bottom w:val="nil"/>
              <w:right w:val="nil"/>
            </w:tcBorders>
            <w:vAlign w:val="bottom"/>
            <w:hideMark/>
          </w:tcPr>
          <w:p w14:paraId="13695BB5"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1720" w:type="dxa"/>
            <w:tcBorders>
              <w:top w:val="nil"/>
              <w:left w:val="nil"/>
              <w:bottom w:val="nil"/>
              <w:right w:val="nil"/>
            </w:tcBorders>
            <w:vAlign w:val="bottom"/>
            <w:hideMark/>
          </w:tcPr>
          <w:p w14:paraId="4BEFFB68"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508C97A7"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3CA2B776"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496502E2"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0" w:type="auto"/>
            <w:tcBorders>
              <w:top w:val="nil"/>
              <w:left w:val="nil"/>
              <w:bottom w:val="nil"/>
              <w:right w:val="nil"/>
            </w:tcBorders>
            <w:noWrap/>
            <w:vAlign w:val="bottom"/>
            <w:hideMark/>
          </w:tcPr>
          <w:p w14:paraId="432C69D9"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r>
      <w:tr w:rsidR="00746C39" w:rsidRPr="00746C39" w14:paraId="7E771CE3" w14:textId="77777777">
        <w:trPr>
          <w:trHeight w:val="540"/>
        </w:trPr>
        <w:tc>
          <w:tcPr>
            <w:tcW w:w="3840" w:type="dxa"/>
            <w:tcBorders>
              <w:top w:val="nil"/>
              <w:left w:val="nil"/>
              <w:bottom w:val="nil"/>
              <w:right w:val="nil"/>
            </w:tcBorders>
            <w:vAlign w:val="bottom"/>
            <w:hideMark/>
          </w:tcPr>
          <w:p w14:paraId="15F343E8"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UBS Wealth Management Asia</w:t>
            </w:r>
          </w:p>
        </w:tc>
        <w:tc>
          <w:tcPr>
            <w:tcW w:w="3200" w:type="dxa"/>
            <w:tcBorders>
              <w:top w:val="nil"/>
              <w:left w:val="nil"/>
              <w:bottom w:val="nil"/>
              <w:right w:val="nil"/>
            </w:tcBorders>
            <w:vAlign w:val="bottom"/>
            <w:hideMark/>
          </w:tcPr>
          <w:p w14:paraId="3080E769"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Financial Advisor</w:t>
            </w:r>
          </w:p>
        </w:tc>
        <w:tc>
          <w:tcPr>
            <w:tcW w:w="2500" w:type="dxa"/>
            <w:tcBorders>
              <w:top w:val="nil"/>
              <w:left w:val="nil"/>
              <w:bottom w:val="nil"/>
              <w:right w:val="nil"/>
            </w:tcBorders>
            <w:vAlign w:val="bottom"/>
            <w:hideMark/>
          </w:tcPr>
          <w:p w14:paraId="5C3A6F99"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Hong Kong</w:t>
            </w:r>
          </w:p>
        </w:tc>
        <w:tc>
          <w:tcPr>
            <w:tcW w:w="1720" w:type="dxa"/>
            <w:tcBorders>
              <w:top w:val="nil"/>
              <w:left w:val="nil"/>
              <w:bottom w:val="nil"/>
              <w:right w:val="nil"/>
            </w:tcBorders>
            <w:vAlign w:val="bottom"/>
            <w:hideMark/>
          </w:tcPr>
          <w:p w14:paraId="48D83339"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$3T+ global</w:t>
            </w:r>
          </w:p>
        </w:tc>
        <w:tc>
          <w:tcPr>
            <w:tcW w:w="3840" w:type="dxa"/>
            <w:tcBorders>
              <w:top w:val="nil"/>
              <w:left w:val="nil"/>
              <w:bottom w:val="nil"/>
              <w:right w:val="nil"/>
            </w:tcBorders>
            <w:vAlign w:val="bottom"/>
            <w:hideMark/>
          </w:tcPr>
          <w:p w14:paraId="2931E81A"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Managed $500M AMC portfolio (2025 per Julius Baer), tokenized pilots</w:t>
            </w:r>
          </w:p>
        </w:tc>
        <w:tc>
          <w:tcPr>
            <w:tcW w:w="3840" w:type="dxa"/>
            <w:tcBorders>
              <w:top w:val="nil"/>
              <w:left w:val="nil"/>
              <w:bottom w:val="nil"/>
              <w:right w:val="nil"/>
            </w:tcBorders>
            <w:vAlign w:val="bottom"/>
            <w:hideMark/>
          </w:tcPr>
          <w:p w14:paraId="7AA1F17A"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Active strategies in equities and professional client focus</w:t>
            </w:r>
          </w:p>
        </w:tc>
        <w:tc>
          <w:tcPr>
            <w:tcW w:w="3840" w:type="dxa"/>
            <w:tcBorders>
              <w:top w:val="nil"/>
              <w:left w:val="nil"/>
              <w:bottom w:val="nil"/>
              <w:right w:val="nil"/>
            </w:tcBorders>
            <w:vAlign w:val="bottom"/>
            <w:hideMark/>
          </w:tcPr>
          <w:p w14:paraId="31B9D2D4" w14:textId="77777777" w:rsidR="00746C39" w:rsidRPr="00746C39" w:rsidRDefault="00746C39" w:rsidP="00746C39">
            <w:pPr>
              <w:spacing w:line="240" w:lineRule="auto"/>
              <w:rPr>
                <w:rFonts w:ascii="Aptos Narrow" w:eastAsia="Times New Roman" w:hAnsi="Aptos Narrow" w:cs="Times New Roman"/>
                <w:color w:val="467886"/>
                <w:u w:val="single"/>
                <w:lang w:val="en-HK"/>
              </w:rPr>
            </w:pPr>
            <w:hyperlink r:id="rId11" w:history="1">
              <w:r w:rsidRPr="00746C39">
                <w:rPr>
                  <w:rFonts w:ascii="Aptos Narrow" w:eastAsia="Times New Roman" w:hAnsi="Aptos Narrow" w:cs="Times New Roman"/>
                  <w:color w:val="467886"/>
                  <w:u w:val="single"/>
                  <w:lang w:val="en-HK"/>
                </w:rPr>
                <w:t>wealthasia@ubs.com</w:t>
              </w:r>
            </w:hyperlink>
          </w:p>
        </w:tc>
        <w:tc>
          <w:tcPr>
            <w:tcW w:w="0" w:type="auto"/>
            <w:tcBorders>
              <w:top w:val="nil"/>
              <w:left w:val="nil"/>
              <w:bottom w:val="nil"/>
              <w:right w:val="nil"/>
            </w:tcBorders>
            <w:noWrap/>
            <w:vAlign w:val="bottom"/>
            <w:hideMark/>
          </w:tcPr>
          <w:p w14:paraId="40D9CC15"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High interest in ART for liquidity</w:t>
            </w:r>
          </w:p>
        </w:tc>
      </w:tr>
      <w:tr w:rsidR="00746C39" w:rsidRPr="00746C39" w14:paraId="0964421F" w14:textId="77777777">
        <w:trPr>
          <w:trHeight w:val="300"/>
        </w:trPr>
        <w:tc>
          <w:tcPr>
            <w:tcW w:w="3840" w:type="dxa"/>
            <w:tcBorders>
              <w:top w:val="nil"/>
              <w:left w:val="nil"/>
              <w:bottom w:val="nil"/>
              <w:right w:val="nil"/>
            </w:tcBorders>
            <w:vAlign w:val="bottom"/>
            <w:hideMark/>
          </w:tcPr>
          <w:p w14:paraId="3A9C39CF" w14:textId="77777777" w:rsidR="00746C39" w:rsidRPr="00746C39" w:rsidRDefault="00746C39" w:rsidP="00746C39">
            <w:pPr>
              <w:spacing w:line="240" w:lineRule="auto"/>
              <w:rPr>
                <w:rFonts w:ascii="Aptos Narrow" w:eastAsia="Times New Roman" w:hAnsi="Aptos Narrow" w:cs="Times New Roman"/>
                <w:color w:val="000000"/>
                <w:lang w:val="en-HK"/>
              </w:rPr>
            </w:pPr>
          </w:p>
        </w:tc>
        <w:tc>
          <w:tcPr>
            <w:tcW w:w="3200" w:type="dxa"/>
            <w:tcBorders>
              <w:top w:val="nil"/>
              <w:left w:val="nil"/>
              <w:bottom w:val="nil"/>
              <w:right w:val="nil"/>
            </w:tcBorders>
            <w:vAlign w:val="bottom"/>
            <w:hideMark/>
          </w:tcPr>
          <w:p w14:paraId="16629218"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2500" w:type="dxa"/>
            <w:tcBorders>
              <w:top w:val="nil"/>
              <w:left w:val="nil"/>
              <w:bottom w:val="nil"/>
              <w:right w:val="nil"/>
            </w:tcBorders>
            <w:vAlign w:val="bottom"/>
            <w:hideMark/>
          </w:tcPr>
          <w:p w14:paraId="5E8B58AA"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1720" w:type="dxa"/>
            <w:tcBorders>
              <w:top w:val="nil"/>
              <w:left w:val="nil"/>
              <w:bottom w:val="nil"/>
              <w:right w:val="nil"/>
            </w:tcBorders>
            <w:vAlign w:val="bottom"/>
            <w:hideMark/>
          </w:tcPr>
          <w:p w14:paraId="22D56992"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703FCA85"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5A495144"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49BF8EC5"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0" w:type="auto"/>
            <w:tcBorders>
              <w:top w:val="nil"/>
              <w:left w:val="nil"/>
              <w:bottom w:val="nil"/>
              <w:right w:val="nil"/>
            </w:tcBorders>
            <w:noWrap/>
            <w:vAlign w:val="bottom"/>
            <w:hideMark/>
          </w:tcPr>
          <w:p w14:paraId="54D4F913"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r>
      <w:tr w:rsidR="00746C39" w:rsidRPr="00746C39" w14:paraId="62228B29" w14:textId="77777777">
        <w:trPr>
          <w:trHeight w:val="540"/>
        </w:trPr>
        <w:tc>
          <w:tcPr>
            <w:tcW w:w="3840" w:type="dxa"/>
            <w:tcBorders>
              <w:top w:val="nil"/>
              <w:left w:val="nil"/>
              <w:bottom w:val="nil"/>
              <w:right w:val="nil"/>
            </w:tcBorders>
            <w:vAlign w:val="bottom"/>
            <w:hideMark/>
          </w:tcPr>
          <w:p w14:paraId="6649482C"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Julius Baer Family Office Services</w:t>
            </w:r>
          </w:p>
        </w:tc>
        <w:tc>
          <w:tcPr>
            <w:tcW w:w="3200" w:type="dxa"/>
            <w:tcBorders>
              <w:top w:val="nil"/>
              <w:left w:val="nil"/>
              <w:bottom w:val="nil"/>
              <w:right w:val="nil"/>
            </w:tcBorders>
            <w:vAlign w:val="bottom"/>
            <w:hideMark/>
          </w:tcPr>
          <w:p w14:paraId="2462A092"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Family Office Advisor</w:t>
            </w:r>
          </w:p>
        </w:tc>
        <w:tc>
          <w:tcPr>
            <w:tcW w:w="2500" w:type="dxa"/>
            <w:tcBorders>
              <w:top w:val="nil"/>
              <w:left w:val="nil"/>
              <w:bottom w:val="nil"/>
              <w:right w:val="nil"/>
            </w:tcBorders>
            <w:vAlign w:val="bottom"/>
            <w:hideMark/>
          </w:tcPr>
          <w:p w14:paraId="76B6B9AF"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Singapore &amp; Hong Kong</w:t>
            </w:r>
          </w:p>
        </w:tc>
        <w:tc>
          <w:tcPr>
            <w:tcW w:w="1720" w:type="dxa"/>
            <w:tcBorders>
              <w:top w:val="nil"/>
              <w:left w:val="nil"/>
              <w:bottom w:val="nil"/>
              <w:right w:val="nil"/>
            </w:tcBorders>
            <w:vAlign w:val="bottom"/>
            <w:hideMark/>
          </w:tcPr>
          <w:p w14:paraId="5AFE54B3"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$500B+</w:t>
            </w:r>
          </w:p>
        </w:tc>
        <w:tc>
          <w:tcPr>
            <w:tcW w:w="3840" w:type="dxa"/>
            <w:tcBorders>
              <w:top w:val="nil"/>
              <w:left w:val="nil"/>
              <w:bottom w:val="nil"/>
              <w:right w:val="nil"/>
            </w:tcBorders>
            <w:vAlign w:val="bottom"/>
            <w:hideMark/>
          </w:tcPr>
          <w:p w14:paraId="6A04470B"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Tokenized RWAs ($300M in 2026 per Citywire), dividend AMCs</w:t>
            </w:r>
          </w:p>
        </w:tc>
        <w:tc>
          <w:tcPr>
            <w:tcW w:w="3840" w:type="dxa"/>
            <w:tcBorders>
              <w:top w:val="nil"/>
              <w:left w:val="nil"/>
              <w:bottom w:val="nil"/>
              <w:right w:val="nil"/>
            </w:tcBorders>
            <w:vAlign w:val="bottom"/>
            <w:hideMark/>
          </w:tcPr>
          <w:p w14:paraId="4126600A"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Thematic arbitrage, blockchain for efficiency</w:t>
            </w:r>
          </w:p>
        </w:tc>
        <w:tc>
          <w:tcPr>
            <w:tcW w:w="3840" w:type="dxa"/>
            <w:tcBorders>
              <w:top w:val="nil"/>
              <w:left w:val="nil"/>
              <w:bottom w:val="nil"/>
              <w:right w:val="nil"/>
            </w:tcBorders>
            <w:vAlign w:val="bottom"/>
            <w:hideMark/>
          </w:tcPr>
          <w:p w14:paraId="783F40D0" w14:textId="77777777" w:rsidR="00746C39" w:rsidRPr="00746C39" w:rsidRDefault="00746C39" w:rsidP="00746C39">
            <w:pPr>
              <w:spacing w:line="240" w:lineRule="auto"/>
              <w:rPr>
                <w:rFonts w:ascii="Aptos Narrow" w:eastAsia="Times New Roman" w:hAnsi="Aptos Narrow" w:cs="Times New Roman"/>
                <w:color w:val="467886"/>
                <w:u w:val="single"/>
                <w:lang w:val="en-HK"/>
              </w:rPr>
            </w:pPr>
            <w:hyperlink r:id="rId12" w:history="1">
              <w:r w:rsidRPr="00746C39">
                <w:rPr>
                  <w:rFonts w:ascii="Aptos Narrow" w:eastAsia="Times New Roman" w:hAnsi="Aptos Narrow" w:cs="Times New Roman"/>
                  <w:color w:val="467886"/>
                  <w:u w:val="single"/>
                  <w:lang w:val="en-HK"/>
                </w:rPr>
                <w:t>asia@juliusbaer.com</w:t>
              </w:r>
            </w:hyperlink>
          </w:p>
        </w:tc>
        <w:tc>
          <w:tcPr>
            <w:tcW w:w="0" w:type="auto"/>
            <w:tcBorders>
              <w:top w:val="nil"/>
              <w:left w:val="nil"/>
              <w:bottom w:val="nil"/>
              <w:right w:val="nil"/>
            </w:tcBorders>
            <w:noWrap/>
            <w:vAlign w:val="bottom"/>
            <w:hideMark/>
          </w:tcPr>
          <w:p w14:paraId="2DA65BF5"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Preferences for high-yield commodities</w:t>
            </w:r>
          </w:p>
        </w:tc>
      </w:tr>
      <w:tr w:rsidR="00746C39" w:rsidRPr="00746C39" w14:paraId="573E2DEE" w14:textId="77777777">
        <w:trPr>
          <w:trHeight w:val="300"/>
        </w:trPr>
        <w:tc>
          <w:tcPr>
            <w:tcW w:w="3840" w:type="dxa"/>
            <w:tcBorders>
              <w:top w:val="nil"/>
              <w:left w:val="nil"/>
              <w:bottom w:val="nil"/>
              <w:right w:val="nil"/>
            </w:tcBorders>
            <w:vAlign w:val="bottom"/>
            <w:hideMark/>
          </w:tcPr>
          <w:p w14:paraId="624196D5" w14:textId="77777777" w:rsidR="00746C39" w:rsidRPr="00746C39" w:rsidRDefault="00746C39" w:rsidP="00746C39">
            <w:pPr>
              <w:spacing w:line="240" w:lineRule="auto"/>
              <w:rPr>
                <w:rFonts w:ascii="Aptos Narrow" w:eastAsia="Times New Roman" w:hAnsi="Aptos Narrow" w:cs="Times New Roman"/>
                <w:color w:val="000000"/>
                <w:lang w:val="en-HK"/>
              </w:rPr>
            </w:pPr>
          </w:p>
        </w:tc>
        <w:tc>
          <w:tcPr>
            <w:tcW w:w="3200" w:type="dxa"/>
            <w:tcBorders>
              <w:top w:val="nil"/>
              <w:left w:val="nil"/>
              <w:bottom w:val="nil"/>
              <w:right w:val="nil"/>
            </w:tcBorders>
            <w:vAlign w:val="bottom"/>
            <w:hideMark/>
          </w:tcPr>
          <w:p w14:paraId="09445BA6"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2500" w:type="dxa"/>
            <w:tcBorders>
              <w:top w:val="nil"/>
              <w:left w:val="nil"/>
              <w:bottom w:val="nil"/>
              <w:right w:val="nil"/>
            </w:tcBorders>
            <w:vAlign w:val="bottom"/>
            <w:hideMark/>
          </w:tcPr>
          <w:p w14:paraId="1E7CA2DC"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1720" w:type="dxa"/>
            <w:tcBorders>
              <w:top w:val="nil"/>
              <w:left w:val="nil"/>
              <w:bottom w:val="nil"/>
              <w:right w:val="nil"/>
            </w:tcBorders>
            <w:vAlign w:val="bottom"/>
            <w:hideMark/>
          </w:tcPr>
          <w:p w14:paraId="2E808433"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135C6DCC"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5BECF9B5"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2D348359"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0" w:type="auto"/>
            <w:tcBorders>
              <w:top w:val="nil"/>
              <w:left w:val="nil"/>
              <w:bottom w:val="nil"/>
              <w:right w:val="nil"/>
            </w:tcBorders>
            <w:noWrap/>
            <w:vAlign w:val="bottom"/>
            <w:hideMark/>
          </w:tcPr>
          <w:p w14:paraId="529FCB11"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r>
      <w:tr w:rsidR="00746C39" w:rsidRPr="00746C39" w14:paraId="1A152468" w14:textId="77777777">
        <w:trPr>
          <w:trHeight w:val="540"/>
        </w:trPr>
        <w:tc>
          <w:tcPr>
            <w:tcW w:w="3840" w:type="dxa"/>
            <w:tcBorders>
              <w:top w:val="nil"/>
              <w:left w:val="nil"/>
              <w:bottom w:val="nil"/>
              <w:right w:val="nil"/>
            </w:tcBorders>
            <w:vAlign w:val="bottom"/>
            <w:hideMark/>
          </w:tcPr>
          <w:p w14:paraId="0774ECBD"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Rothschild &amp; Co Asia</w:t>
            </w:r>
          </w:p>
        </w:tc>
        <w:tc>
          <w:tcPr>
            <w:tcW w:w="3200" w:type="dxa"/>
            <w:tcBorders>
              <w:top w:val="nil"/>
              <w:left w:val="nil"/>
              <w:bottom w:val="nil"/>
              <w:right w:val="nil"/>
            </w:tcBorders>
            <w:vAlign w:val="bottom"/>
            <w:hideMark/>
          </w:tcPr>
          <w:p w14:paraId="2BAACA01"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Family Office</w:t>
            </w:r>
          </w:p>
        </w:tc>
        <w:tc>
          <w:tcPr>
            <w:tcW w:w="2500" w:type="dxa"/>
            <w:tcBorders>
              <w:top w:val="nil"/>
              <w:left w:val="nil"/>
              <w:bottom w:val="nil"/>
              <w:right w:val="nil"/>
            </w:tcBorders>
            <w:vAlign w:val="bottom"/>
            <w:hideMark/>
          </w:tcPr>
          <w:p w14:paraId="52145CCF"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Hong Kong</w:t>
            </w:r>
          </w:p>
        </w:tc>
        <w:tc>
          <w:tcPr>
            <w:tcW w:w="1720" w:type="dxa"/>
            <w:tcBorders>
              <w:top w:val="nil"/>
              <w:left w:val="nil"/>
              <w:bottom w:val="nil"/>
              <w:right w:val="nil"/>
            </w:tcBorders>
            <w:vAlign w:val="bottom"/>
            <w:hideMark/>
          </w:tcPr>
          <w:p w14:paraId="72393FDF"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$100B+</w:t>
            </w:r>
          </w:p>
        </w:tc>
        <w:tc>
          <w:tcPr>
            <w:tcW w:w="3840" w:type="dxa"/>
            <w:tcBorders>
              <w:top w:val="nil"/>
              <w:left w:val="nil"/>
              <w:bottom w:val="nil"/>
              <w:right w:val="nil"/>
            </w:tcBorders>
            <w:vAlign w:val="bottom"/>
            <w:hideMark/>
          </w:tcPr>
          <w:p w14:paraId="19544394"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$150M in alternative tokenization (2026 per Hubbis), AMC equities</w:t>
            </w:r>
          </w:p>
        </w:tc>
        <w:tc>
          <w:tcPr>
            <w:tcW w:w="3840" w:type="dxa"/>
            <w:tcBorders>
              <w:top w:val="nil"/>
              <w:left w:val="nil"/>
              <w:bottom w:val="nil"/>
              <w:right w:val="nil"/>
            </w:tcBorders>
            <w:vAlign w:val="bottom"/>
            <w:hideMark/>
          </w:tcPr>
          <w:p w14:paraId="50B13817"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Capital preservation, MiCA-compliant</w:t>
            </w:r>
          </w:p>
        </w:tc>
        <w:tc>
          <w:tcPr>
            <w:tcW w:w="3840" w:type="dxa"/>
            <w:tcBorders>
              <w:top w:val="nil"/>
              <w:left w:val="nil"/>
              <w:bottom w:val="nil"/>
              <w:right w:val="nil"/>
            </w:tcBorders>
            <w:vAlign w:val="bottom"/>
            <w:hideMark/>
          </w:tcPr>
          <w:p w14:paraId="39C1B474" w14:textId="77777777" w:rsidR="00746C39" w:rsidRPr="00746C39" w:rsidRDefault="00746C39" w:rsidP="00746C39">
            <w:pPr>
              <w:spacing w:line="240" w:lineRule="auto"/>
              <w:rPr>
                <w:rFonts w:ascii="Aptos Narrow" w:eastAsia="Times New Roman" w:hAnsi="Aptos Narrow" w:cs="Times New Roman"/>
                <w:color w:val="467886"/>
                <w:u w:val="single"/>
                <w:lang w:val="en-HK"/>
              </w:rPr>
            </w:pPr>
            <w:hyperlink r:id="rId13" w:history="1">
              <w:r w:rsidRPr="00746C39">
                <w:rPr>
                  <w:rFonts w:ascii="Aptos Narrow" w:eastAsia="Times New Roman" w:hAnsi="Aptos Narrow" w:cs="Times New Roman"/>
                  <w:color w:val="467886"/>
                  <w:u w:val="single"/>
                  <w:lang w:val="en-HK"/>
                </w:rPr>
                <w:t>asia@rothschildandco.com</w:t>
              </w:r>
            </w:hyperlink>
          </w:p>
        </w:tc>
        <w:tc>
          <w:tcPr>
            <w:tcW w:w="0" w:type="auto"/>
            <w:tcBorders>
              <w:top w:val="nil"/>
              <w:left w:val="nil"/>
              <w:bottom w:val="nil"/>
              <w:right w:val="nil"/>
            </w:tcBorders>
            <w:noWrap/>
            <w:vAlign w:val="bottom"/>
            <w:hideMark/>
          </w:tcPr>
          <w:p w14:paraId="5734A7C5"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History in private wealth tokenization</w:t>
            </w:r>
          </w:p>
        </w:tc>
      </w:tr>
      <w:tr w:rsidR="00746C39" w:rsidRPr="00746C39" w14:paraId="6BFB324B" w14:textId="77777777">
        <w:trPr>
          <w:trHeight w:val="300"/>
        </w:trPr>
        <w:tc>
          <w:tcPr>
            <w:tcW w:w="3840" w:type="dxa"/>
            <w:tcBorders>
              <w:top w:val="nil"/>
              <w:left w:val="nil"/>
              <w:bottom w:val="nil"/>
              <w:right w:val="nil"/>
            </w:tcBorders>
            <w:vAlign w:val="bottom"/>
            <w:hideMark/>
          </w:tcPr>
          <w:p w14:paraId="38227C94" w14:textId="77777777" w:rsidR="00746C39" w:rsidRPr="00746C39" w:rsidRDefault="00746C39" w:rsidP="00746C39">
            <w:pPr>
              <w:spacing w:line="240" w:lineRule="auto"/>
              <w:rPr>
                <w:rFonts w:ascii="Aptos Narrow" w:eastAsia="Times New Roman" w:hAnsi="Aptos Narrow" w:cs="Times New Roman"/>
                <w:color w:val="000000"/>
                <w:lang w:val="en-HK"/>
              </w:rPr>
            </w:pPr>
          </w:p>
        </w:tc>
        <w:tc>
          <w:tcPr>
            <w:tcW w:w="3200" w:type="dxa"/>
            <w:tcBorders>
              <w:top w:val="nil"/>
              <w:left w:val="nil"/>
              <w:bottom w:val="nil"/>
              <w:right w:val="nil"/>
            </w:tcBorders>
            <w:vAlign w:val="bottom"/>
            <w:hideMark/>
          </w:tcPr>
          <w:p w14:paraId="1E120898"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2500" w:type="dxa"/>
            <w:tcBorders>
              <w:top w:val="nil"/>
              <w:left w:val="nil"/>
              <w:bottom w:val="nil"/>
              <w:right w:val="nil"/>
            </w:tcBorders>
            <w:vAlign w:val="bottom"/>
            <w:hideMark/>
          </w:tcPr>
          <w:p w14:paraId="34E065FE"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1720" w:type="dxa"/>
            <w:tcBorders>
              <w:top w:val="nil"/>
              <w:left w:val="nil"/>
              <w:bottom w:val="nil"/>
              <w:right w:val="nil"/>
            </w:tcBorders>
            <w:vAlign w:val="bottom"/>
            <w:hideMark/>
          </w:tcPr>
          <w:p w14:paraId="1FB592A6"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13C7A7D3"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6D7E01FF"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161F8442"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0" w:type="auto"/>
            <w:tcBorders>
              <w:top w:val="nil"/>
              <w:left w:val="nil"/>
              <w:bottom w:val="nil"/>
              <w:right w:val="nil"/>
            </w:tcBorders>
            <w:noWrap/>
            <w:vAlign w:val="bottom"/>
            <w:hideMark/>
          </w:tcPr>
          <w:p w14:paraId="52218BC0"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r>
      <w:tr w:rsidR="00746C39" w:rsidRPr="00746C39" w14:paraId="0481AA5E" w14:textId="77777777">
        <w:trPr>
          <w:trHeight w:val="540"/>
        </w:trPr>
        <w:tc>
          <w:tcPr>
            <w:tcW w:w="3840" w:type="dxa"/>
            <w:tcBorders>
              <w:top w:val="nil"/>
              <w:left w:val="nil"/>
              <w:bottom w:val="nil"/>
              <w:right w:val="nil"/>
            </w:tcBorders>
            <w:vAlign w:val="bottom"/>
            <w:hideMark/>
          </w:tcPr>
          <w:p w14:paraId="1EC55684"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Pictet Asia (Family Office)</w:t>
            </w:r>
          </w:p>
        </w:tc>
        <w:tc>
          <w:tcPr>
            <w:tcW w:w="3200" w:type="dxa"/>
            <w:tcBorders>
              <w:top w:val="nil"/>
              <w:left w:val="nil"/>
              <w:bottom w:val="nil"/>
              <w:right w:val="nil"/>
            </w:tcBorders>
            <w:vAlign w:val="bottom"/>
            <w:hideMark/>
          </w:tcPr>
          <w:p w14:paraId="1394D5C1"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Family Office</w:t>
            </w:r>
          </w:p>
        </w:tc>
        <w:tc>
          <w:tcPr>
            <w:tcW w:w="2500" w:type="dxa"/>
            <w:tcBorders>
              <w:top w:val="nil"/>
              <w:left w:val="nil"/>
              <w:bottom w:val="nil"/>
              <w:right w:val="nil"/>
            </w:tcBorders>
            <w:vAlign w:val="bottom"/>
            <w:hideMark/>
          </w:tcPr>
          <w:p w14:paraId="4FD911BF"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Singapore &amp; Hong Kong</w:t>
            </w:r>
          </w:p>
        </w:tc>
        <w:tc>
          <w:tcPr>
            <w:tcW w:w="1720" w:type="dxa"/>
            <w:tcBorders>
              <w:top w:val="nil"/>
              <w:left w:val="nil"/>
              <w:bottom w:val="nil"/>
              <w:right w:val="nil"/>
            </w:tcBorders>
            <w:vAlign w:val="bottom"/>
            <w:hideMark/>
          </w:tcPr>
          <w:p w14:paraId="558AB4E9"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$600B+</w:t>
            </w:r>
          </w:p>
        </w:tc>
        <w:tc>
          <w:tcPr>
            <w:tcW w:w="3840" w:type="dxa"/>
            <w:tcBorders>
              <w:top w:val="nil"/>
              <w:left w:val="nil"/>
              <w:bottom w:val="nil"/>
              <w:right w:val="nil"/>
            </w:tcBorders>
            <w:vAlign w:val="bottom"/>
            <w:hideMark/>
          </w:tcPr>
          <w:p w14:paraId="454B3765"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ESG tokenized portfolios ($200M 2025-2026 per Financial Times)</w:t>
            </w:r>
          </w:p>
        </w:tc>
        <w:tc>
          <w:tcPr>
            <w:tcW w:w="3840" w:type="dxa"/>
            <w:tcBorders>
              <w:top w:val="nil"/>
              <w:left w:val="nil"/>
              <w:bottom w:val="nil"/>
              <w:right w:val="nil"/>
            </w:tcBorders>
            <w:vAlign w:val="bottom"/>
            <w:hideMark/>
          </w:tcPr>
          <w:p w14:paraId="7198F4FB"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Growth stocks via AMCs, and sustainability focus</w:t>
            </w:r>
          </w:p>
        </w:tc>
        <w:tc>
          <w:tcPr>
            <w:tcW w:w="3840" w:type="dxa"/>
            <w:tcBorders>
              <w:top w:val="nil"/>
              <w:left w:val="nil"/>
              <w:bottom w:val="nil"/>
              <w:right w:val="nil"/>
            </w:tcBorders>
            <w:vAlign w:val="bottom"/>
            <w:hideMark/>
          </w:tcPr>
          <w:p w14:paraId="13FB327A" w14:textId="77777777" w:rsidR="00746C39" w:rsidRPr="00746C39" w:rsidRDefault="00746C39" w:rsidP="00746C39">
            <w:pPr>
              <w:spacing w:line="240" w:lineRule="auto"/>
              <w:rPr>
                <w:rFonts w:ascii="Aptos Narrow" w:eastAsia="Times New Roman" w:hAnsi="Aptos Narrow" w:cs="Times New Roman"/>
                <w:color w:val="467886"/>
                <w:u w:val="single"/>
                <w:lang w:val="en-HK"/>
              </w:rPr>
            </w:pPr>
            <w:hyperlink r:id="rId14" w:history="1">
              <w:r w:rsidRPr="00746C39">
                <w:rPr>
                  <w:rFonts w:ascii="Aptos Narrow" w:eastAsia="Times New Roman" w:hAnsi="Aptos Narrow" w:cs="Times New Roman"/>
                  <w:color w:val="467886"/>
                  <w:u w:val="single"/>
                  <w:lang w:val="en-HK"/>
                </w:rPr>
                <w:t>asia@pictet.com</w:t>
              </w:r>
            </w:hyperlink>
          </w:p>
        </w:tc>
        <w:tc>
          <w:tcPr>
            <w:tcW w:w="0" w:type="auto"/>
            <w:tcBorders>
              <w:top w:val="nil"/>
              <w:left w:val="nil"/>
              <w:bottom w:val="nil"/>
              <w:right w:val="nil"/>
            </w:tcBorders>
            <w:noWrap/>
            <w:vAlign w:val="bottom"/>
            <w:hideMark/>
          </w:tcPr>
          <w:p w14:paraId="26CC3E60"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Preferences for automated onboarding</w:t>
            </w:r>
          </w:p>
        </w:tc>
      </w:tr>
      <w:tr w:rsidR="00746C39" w:rsidRPr="00746C39" w14:paraId="1075C9BB" w14:textId="77777777">
        <w:trPr>
          <w:trHeight w:val="300"/>
        </w:trPr>
        <w:tc>
          <w:tcPr>
            <w:tcW w:w="3840" w:type="dxa"/>
            <w:tcBorders>
              <w:top w:val="nil"/>
              <w:left w:val="nil"/>
              <w:bottom w:val="nil"/>
              <w:right w:val="nil"/>
            </w:tcBorders>
            <w:vAlign w:val="bottom"/>
            <w:hideMark/>
          </w:tcPr>
          <w:p w14:paraId="7D71822E" w14:textId="77777777" w:rsidR="00746C39" w:rsidRPr="00746C39" w:rsidRDefault="00746C39" w:rsidP="00746C39">
            <w:pPr>
              <w:spacing w:line="240" w:lineRule="auto"/>
              <w:rPr>
                <w:rFonts w:ascii="Aptos Narrow" w:eastAsia="Times New Roman" w:hAnsi="Aptos Narrow" w:cs="Times New Roman"/>
                <w:color w:val="000000"/>
                <w:lang w:val="en-HK"/>
              </w:rPr>
            </w:pPr>
          </w:p>
        </w:tc>
        <w:tc>
          <w:tcPr>
            <w:tcW w:w="3200" w:type="dxa"/>
            <w:tcBorders>
              <w:top w:val="nil"/>
              <w:left w:val="nil"/>
              <w:bottom w:val="nil"/>
              <w:right w:val="nil"/>
            </w:tcBorders>
            <w:vAlign w:val="bottom"/>
            <w:hideMark/>
          </w:tcPr>
          <w:p w14:paraId="069C1B19"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2500" w:type="dxa"/>
            <w:tcBorders>
              <w:top w:val="nil"/>
              <w:left w:val="nil"/>
              <w:bottom w:val="nil"/>
              <w:right w:val="nil"/>
            </w:tcBorders>
            <w:vAlign w:val="bottom"/>
            <w:hideMark/>
          </w:tcPr>
          <w:p w14:paraId="2DC82F47"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1720" w:type="dxa"/>
            <w:tcBorders>
              <w:top w:val="nil"/>
              <w:left w:val="nil"/>
              <w:bottom w:val="nil"/>
              <w:right w:val="nil"/>
            </w:tcBorders>
            <w:vAlign w:val="bottom"/>
            <w:hideMark/>
          </w:tcPr>
          <w:p w14:paraId="73CA7C2C"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3A0AABD4"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466EC9FE"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2347F748"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0" w:type="auto"/>
            <w:tcBorders>
              <w:top w:val="nil"/>
              <w:left w:val="nil"/>
              <w:bottom w:val="nil"/>
              <w:right w:val="nil"/>
            </w:tcBorders>
            <w:noWrap/>
            <w:vAlign w:val="bottom"/>
            <w:hideMark/>
          </w:tcPr>
          <w:p w14:paraId="1AE64F1D"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r>
      <w:tr w:rsidR="00746C39" w:rsidRPr="00746C39" w14:paraId="4B2E9920" w14:textId="77777777">
        <w:trPr>
          <w:trHeight w:val="540"/>
        </w:trPr>
        <w:tc>
          <w:tcPr>
            <w:tcW w:w="3840" w:type="dxa"/>
            <w:tcBorders>
              <w:top w:val="nil"/>
              <w:left w:val="nil"/>
              <w:bottom w:val="nil"/>
              <w:right w:val="nil"/>
            </w:tcBorders>
            <w:vAlign w:val="bottom"/>
            <w:hideMark/>
          </w:tcPr>
          <w:p w14:paraId="11C8B545"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Allianz Global Investors Asia</w:t>
            </w:r>
          </w:p>
        </w:tc>
        <w:tc>
          <w:tcPr>
            <w:tcW w:w="3200" w:type="dxa"/>
            <w:tcBorders>
              <w:top w:val="nil"/>
              <w:left w:val="nil"/>
              <w:bottom w:val="nil"/>
              <w:right w:val="nil"/>
            </w:tcBorders>
            <w:vAlign w:val="bottom"/>
            <w:hideMark/>
          </w:tcPr>
          <w:p w14:paraId="5BDEE398"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Institutional Advisor</w:t>
            </w:r>
          </w:p>
        </w:tc>
        <w:tc>
          <w:tcPr>
            <w:tcW w:w="2500" w:type="dxa"/>
            <w:tcBorders>
              <w:top w:val="nil"/>
              <w:left w:val="nil"/>
              <w:bottom w:val="nil"/>
              <w:right w:val="nil"/>
            </w:tcBorders>
            <w:vAlign w:val="bottom"/>
            <w:hideMark/>
          </w:tcPr>
          <w:p w14:paraId="10CE1BA8"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Hong Kong</w:t>
            </w:r>
          </w:p>
        </w:tc>
        <w:tc>
          <w:tcPr>
            <w:tcW w:w="1720" w:type="dxa"/>
            <w:tcBorders>
              <w:top w:val="nil"/>
              <w:left w:val="nil"/>
              <w:bottom w:val="nil"/>
              <w:right w:val="nil"/>
            </w:tcBorders>
            <w:vAlign w:val="bottom"/>
            <w:hideMark/>
          </w:tcPr>
          <w:p w14:paraId="4E07C2EA"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$800B+</w:t>
            </w:r>
          </w:p>
        </w:tc>
        <w:tc>
          <w:tcPr>
            <w:tcW w:w="3840" w:type="dxa"/>
            <w:tcBorders>
              <w:top w:val="nil"/>
              <w:left w:val="nil"/>
              <w:bottom w:val="nil"/>
              <w:right w:val="nil"/>
            </w:tcBorders>
            <w:vAlign w:val="bottom"/>
            <w:hideMark/>
          </w:tcPr>
          <w:p w14:paraId="1ACD5E68"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$400M in RWAs, tokenized bonds (2026 per LSE data)</w:t>
            </w:r>
          </w:p>
        </w:tc>
        <w:tc>
          <w:tcPr>
            <w:tcW w:w="3840" w:type="dxa"/>
            <w:tcBorders>
              <w:top w:val="nil"/>
              <w:left w:val="nil"/>
              <w:bottom w:val="nil"/>
              <w:right w:val="nil"/>
            </w:tcBorders>
            <w:vAlign w:val="bottom"/>
            <w:hideMark/>
          </w:tcPr>
          <w:p w14:paraId="53AB75A0"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Inflation-hedged AMCs, commodities or equities</w:t>
            </w:r>
          </w:p>
        </w:tc>
        <w:tc>
          <w:tcPr>
            <w:tcW w:w="3840" w:type="dxa"/>
            <w:tcBorders>
              <w:top w:val="nil"/>
              <w:left w:val="nil"/>
              <w:bottom w:val="nil"/>
              <w:right w:val="nil"/>
            </w:tcBorders>
            <w:vAlign w:val="bottom"/>
            <w:hideMark/>
          </w:tcPr>
          <w:p w14:paraId="73CC5DA7" w14:textId="77777777" w:rsidR="00746C39" w:rsidRPr="00746C39" w:rsidRDefault="00746C39" w:rsidP="00746C39">
            <w:pPr>
              <w:spacing w:line="240" w:lineRule="auto"/>
              <w:rPr>
                <w:rFonts w:ascii="Aptos Narrow" w:eastAsia="Times New Roman" w:hAnsi="Aptos Narrow" w:cs="Times New Roman"/>
                <w:color w:val="467886"/>
                <w:u w:val="single"/>
                <w:lang w:val="en-HK"/>
              </w:rPr>
            </w:pPr>
            <w:hyperlink r:id="rId15" w:history="1">
              <w:r w:rsidRPr="00746C39">
                <w:rPr>
                  <w:rFonts w:ascii="Aptos Narrow" w:eastAsia="Times New Roman" w:hAnsi="Aptos Narrow" w:cs="Times New Roman"/>
                  <w:color w:val="467886"/>
                  <w:u w:val="single"/>
                  <w:lang w:val="en-HK"/>
                </w:rPr>
                <w:t>apac@allianzgi.com</w:t>
              </w:r>
            </w:hyperlink>
          </w:p>
        </w:tc>
        <w:tc>
          <w:tcPr>
            <w:tcW w:w="0" w:type="auto"/>
            <w:tcBorders>
              <w:top w:val="nil"/>
              <w:left w:val="nil"/>
              <w:bottom w:val="nil"/>
              <w:right w:val="nil"/>
            </w:tcBorders>
            <w:noWrap/>
            <w:vAlign w:val="bottom"/>
            <w:hideMark/>
          </w:tcPr>
          <w:p w14:paraId="0231CA68"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Strong in green bonds, open to ART</w:t>
            </w:r>
          </w:p>
        </w:tc>
      </w:tr>
      <w:tr w:rsidR="00746C39" w:rsidRPr="00746C39" w14:paraId="3A3E8886" w14:textId="77777777">
        <w:trPr>
          <w:trHeight w:val="300"/>
        </w:trPr>
        <w:tc>
          <w:tcPr>
            <w:tcW w:w="3840" w:type="dxa"/>
            <w:tcBorders>
              <w:top w:val="nil"/>
              <w:left w:val="nil"/>
              <w:bottom w:val="nil"/>
              <w:right w:val="nil"/>
            </w:tcBorders>
            <w:vAlign w:val="bottom"/>
            <w:hideMark/>
          </w:tcPr>
          <w:p w14:paraId="55B533F2" w14:textId="77777777" w:rsidR="00746C39" w:rsidRPr="00746C39" w:rsidRDefault="00746C39" w:rsidP="00746C39">
            <w:pPr>
              <w:spacing w:line="240" w:lineRule="auto"/>
              <w:rPr>
                <w:rFonts w:ascii="Aptos Narrow" w:eastAsia="Times New Roman" w:hAnsi="Aptos Narrow" w:cs="Times New Roman"/>
                <w:color w:val="000000"/>
                <w:lang w:val="en-HK"/>
              </w:rPr>
            </w:pPr>
          </w:p>
        </w:tc>
        <w:tc>
          <w:tcPr>
            <w:tcW w:w="3200" w:type="dxa"/>
            <w:tcBorders>
              <w:top w:val="nil"/>
              <w:left w:val="nil"/>
              <w:bottom w:val="nil"/>
              <w:right w:val="nil"/>
            </w:tcBorders>
            <w:vAlign w:val="bottom"/>
            <w:hideMark/>
          </w:tcPr>
          <w:p w14:paraId="2396BB29"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2500" w:type="dxa"/>
            <w:tcBorders>
              <w:top w:val="nil"/>
              <w:left w:val="nil"/>
              <w:bottom w:val="nil"/>
              <w:right w:val="nil"/>
            </w:tcBorders>
            <w:vAlign w:val="bottom"/>
            <w:hideMark/>
          </w:tcPr>
          <w:p w14:paraId="6896CB1D"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1720" w:type="dxa"/>
            <w:tcBorders>
              <w:top w:val="nil"/>
              <w:left w:val="nil"/>
              <w:bottom w:val="nil"/>
              <w:right w:val="nil"/>
            </w:tcBorders>
            <w:vAlign w:val="bottom"/>
            <w:hideMark/>
          </w:tcPr>
          <w:p w14:paraId="7BFB12B7"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6A09E7FF"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191602AC"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7C713C93"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0" w:type="auto"/>
            <w:tcBorders>
              <w:top w:val="nil"/>
              <w:left w:val="nil"/>
              <w:bottom w:val="nil"/>
              <w:right w:val="nil"/>
            </w:tcBorders>
            <w:noWrap/>
            <w:vAlign w:val="bottom"/>
            <w:hideMark/>
          </w:tcPr>
          <w:p w14:paraId="1F2DC72B"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r>
      <w:tr w:rsidR="00746C39" w:rsidRPr="00746C39" w14:paraId="4FE34BDE" w14:textId="77777777">
        <w:trPr>
          <w:trHeight w:val="540"/>
        </w:trPr>
        <w:tc>
          <w:tcPr>
            <w:tcW w:w="3840" w:type="dxa"/>
            <w:tcBorders>
              <w:top w:val="nil"/>
              <w:left w:val="nil"/>
              <w:bottom w:val="nil"/>
              <w:right w:val="nil"/>
            </w:tcBorders>
            <w:vAlign w:val="bottom"/>
            <w:hideMark/>
          </w:tcPr>
          <w:p w14:paraId="0C085699"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Standard Chartered Private Banking</w:t>
            </w:r>
          </w:p>
        </w:tc>
        <w:tc>
          <w:tcPr>
            <w:tcW w:w="3200" w:type="dxa"/>
            <w:tcBorders>
              <w:top w:val="nil"/>
              <w:left w:val="nil"/>
              <w:bottom w:val="nil"/>
              <w:right w:val="nil"/>
            </w:tcBorders>
            <w:vAlign w:val="bottom"/>
            <w:hideMark/>
          </w:tcPr>
          <w:p w14:paraId="36EEDDDC"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Financial Advisor</w:t>
            </w:r>
          </w:p>
        </w:tc>
        <w:tc>
          <w:tcPr>
            <w:tcW w:w="2500" w:type="dxa"/>
            <w:tcBorders>
              <w:top w:val="nil"/>
              <w:left w:val="nil"/>
              <w:bottom w:val="nil"/>
              <w:right w:val="nil"/>
            </w:tcBorders>
            <w:vAlign w:val="bottom"/>
            <w:hideMark/>
          </w:tcPr>
          <w:p w14:paraId="04C21632"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Hong Kong</w:t>
            </w:r>
          </w:p>
        </w:tc>
        <w:tc>
          <w:tcPr>
            <w:tcW w:w="1720" w:type="dxa"/>
            <w:tcBorders>
              <w:top w:val="nil"/>
              <w:left w:val="nil"/>
              <w:bottom w:val="nil"/>
              <w:right w:val="nil"/>
            </w:tcBorders>
            <w:vAlign w:val="bottom"/>
            <w:hideMark/>
          </w:tcPr>
          <w:p w14:paraId="24DA2467"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$500B+</w:t>
            </w:r>
          </w:p>
        </w:tc>
        <w:tc>
          <w:tcPr>
            <w:tcW w:w="3840" w:type="dxa"/>
            <w:tcBorders>
              <w:top w:val="nil"/>
              <w:left w:val="nil"/>
              <w:bottom w:val="nil"/>
              <w:right w:val="nil"/>
            </w:tcBorders>
            <w:vAlign w:val="bottom"/>
            <w:hideMark/>
          </w:tcPr>
          <w:p w14:paraId="5FB34BA6"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Emerging market tokenization ($250M 2026 per Investor Chronicle)</w:t>
            </w:r>
          </w:p>
        </w:tc>
        <w:tc>
          <w:tcPr>
            <w:tcW w:w="3840" w:type="dxa"/>
            <w:tcBorders>
              <w:top w:val="nil"/>
              <w:left w:val="nil"/>
              <w:bottom w:val="nil"/>
              <w:right w:val="nil"/>
            </w:tcBorders>
            <w:vAlign w:val="bottom"/>
            <w:hideMark/>
          </w:tcPr>
          <w:p w14:paraId="7C69FD09"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Global macro, FX/commodities in AMCs</w:t>
            </w:r>
          </w:p>
        </w:tc>
        <w:tc>
          <w:tcPr>
            <w:tcW w:w="3840" w:type="dxa"/>
            <w:tcBorders>
              <w:top w:val="nil"/>
              <w:left w:val="nil"/>
              <w:bottom w:val="nil"/>
              <w:right w:val="nil"/>
            </w:tcBorders>
            <w:vAlign w:val="bottom"/>
            <w:hideMark/>
          </w:tcPr>
          <w:p w14:paraId="091D4B64" w14:textId="77777777" w:rsidR="00746C39" w:rsidRPr="00746C39" w:rsidRDefault="00746C39" w:rsidP="00746C39">
            <w:pPr>
              <w:spacing w:line="240" w:lineRule="auto"/>
              <w:rPr>
                <w:rFonts w:ascii="Aptos Narrow" w:eastAsia="Times New Roman" w:hAnsi="Aptos Narrow" w:cs="Times New Roman"/>
                <w:color w:val="467886"/>
                <w:u w:val="single"/>
                <w:lang w:val="en-HK"/>
              </w:rPr>
            </w:pPr>
            <w:hyperlink r:id="rId16" w:history="1">
              <w:r w:rsidRPr="00746C39">
                <w:rPr>
                  <w:rFonts w:ascii="Aptos Narrow" w:eastAsia="Times New Roman" w:hAnsi="Aptos Narrow" w:cs="Times New Roman"/>
                  <w:color w:val="467886"/>
                  <w:u w:val="single"/>
                  <w:lang w:val="en-HK"/>
                </w:rPr>
                <w:t>privatebanking@sc.com</w:t>
              </w:r>
            </w:hyperlink>
          </w:p>
        </w:tc>
        <w:tc>
          <w:tcPr>
            <w:tcW w:w="0" w:type="auto"/>
            <w:tcBorders>
              <w:top w:val="nil"/>
              <w:left w:val="nil"/>
              <w:bottom w:val="nil"/>
              <w:right w:val="nil"/>
            </w:tcBorders>
            <w:noWrap/>
            <w:vAlign w:val="bottom"/>
            <w:hideMark/>
          </w:tcPr>
          <w:p w14:paraId="43E1FE3D"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Preferences for Asia-focused liquidity</w:t>
            </w:r>
          </w:p>
        </w:tc>
      </w:tr>
      <w:tr w:rsidR="00746C39" w:rsidRPr="00746C39" w14:paraId="60D474E0" w14:textId="77777777">
        <w:trPr>
          <w:trHeight w:val="300"/>
        </w:trPr>
        <w:tc>
          <w:tcPr>
            <w:tcW w:w="3840" w:type="dxa"/>
            <w:tcBorders>
              <w:top w:val="nil"/>
              <w:left w:val="nil"/>
              <w:bottom w:val="nil"/>
              <w:right w:val="nil"/>
            </w:tcBorders>
            <w:vAlign w:val="bottom"/>
            <w:hideMark/>
          </w:tcPr>
          <w:p w14:paraId="5DE25817" w14:textId="77777777" w:rsidR="00746C39" w:rsidRPr="00746C39" w:rsidRDefault="00746C39" w:rsidP="00746C39">
            <w:pPr>
              <w:spacing w:line="240" w:lineRule="auto"/>
              <w:rPr>
                <w:rFonts w:ascii="Aptos Narrow" w:eastAsia="Times New Roman" w:hAnsi="Aptos Narrow" w:cs="Times New Roman"/>
                <w:color w:val="000000"/>
                <w:lang w:val="en-HK"/>
              </w:rPr>
            </w:pPr>
          </w:p>
        </w:tc>
        <w:tc>
          <w:tcPr>
            <w:tcW w:w="3200" w:type="dxa"/>
            <w:tcBorders>
              <w:top w:val="nil"/>
              <w:left w:val="nil"/>
              <w:bottom w:val="nil"/>
              <w:right w:val="nil"/>
            </w:tcBorders>
            <w:vAlign w:val="bottom"/>
            <w:hideMark/>
          </w:tcPr>
          <w:p w14:paraId="4F5A5F65"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2500" w:type="dxa"/>
            <w:tcBorders>
              <w:top w:val="nil"/>
              <w:left w:val="nil"/>
              <w:bottom w:val="nil"/>
              <w:right w:val="nil"/>
            </w:tcBorders>
            <w:vAlign w:val="bottom"/>
            <w:hideMark/>
          </w:tcPr>
          <w:p w14:paraId="590A74E4"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1720" w:type="dxa"/>
            <w:tcBorders>
              <w:top w:val="nil"/>
              <w:left w:val="nil"/>
              <w:bottom w:val="nil"/>
              <w:right w:val="nil"/>
            </w:tcBorders>
            <w:vAlign w:val="bottom"/>
            <w:hideMark/>
          </w:tcPr>
          <w:p w14:paraId="01332872"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22A35A2F"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6FC77C76"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52FEB9D5"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0" w:type="auto"/>
            <w:tcBorders>
              <w:top w:val="nil"/>
              <w:left w:val="nil"/>
              <w:bottom w:val="nil"/>
              <w:right w:val="nil"/>
            </w:tcBorders>
            <w:noWrap/>
            <w:vAlign w:val="bottom"/>
            <w:hideMark/>
          </w:tcPr>
          <w:p w14:paraId="112C054F"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r>
      <w:tr w:rsidR="00746C39" w:rsidRPr="00746C39" w14:paraId="691F88B6" w14:textId="77777777">
        <w:trPr>
          <w:trHeight w:val="540"/>
        </w:trPr>
        <w:tc>
          <w:tcPr>
            <w:tcW w:w="3840" w:type="dxa"/>
            <w:tcBorders>
              <w:top w:val="nil"/>
              <w:left w:val="nil"/>
              <w:bottom w:val="nil"/>
              <w:right w:val="nil"/>
            </w:tcBorders>
            <w:vAlign w:val="bottom"/>
            <w:hideMark/>
          </w:tcPr>
          <w:p w14:paraId="519492A9"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Morgan Stanley Asia Wealth</w:t>
            </w:r>
          </w:p>
        </w:tc>
        <w:tc>
          <w:tcPr>
            <w:tcW w:w="3200" w:type="dxa"/>
            <w:tcBorders>
              <w:top w:val="nil"/>
              <w:left w:val="nil"/>
              <w:bottom w:val="nil"/>
              <w:right w:val="nil"/>
            </w:tcBorders>
            <w:vAlign w:val="bottom"/>
            <w:hideMark/>
          </w:tcPr>
          <w:p w14:paraId="4BCB3CB4"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Financial Advisor</w:t>
            </w:r>
          </w:p>
        </w:tc>
        <w:tc>
          <w:tcPr>
            <w:tcW w:w="2500" w:type="dxa"/>
            <w:tcBorders>
              <w:top w:val="nil"/>
              <w:left w:val="nil"/>
              <w:bottom w:val="nil"/>
              <w:right w:val="nil"/>
            </w:tcBorders>
            <w:vAlign w:val="bottom"/>
            <w:hideMark/>
          </w:tcPr>
          <w:p w14:paraId="4EE4A107"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Hong Kong</w:t>
            </w:r>
          </w:p>
        </w:tc>
        <w:tc>
          <w:tcPr>
            <w:tcW w:w="1720" w:type="dxa"/>
            <w:tcBorders>
              <w:top w:val="nil"/>
              <w:left w:val="nil"/>
              <w:bottom w:val="nil"/>
              <w:right w:val="nil"/>
            </w:tcBorders>
            <w:vAlign w:val="bottom"/>
            <w:hideMark/>
          </w:tcPr>
          <w:p w14:paraId="34026901"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$5T+ global</w:t>
            </w:r>
          </w:p>
        </w:tc>
        <w:tc>
          <w:tcPr>
            <w:tcW w:w="3840" w:type="dxa"/>
            <w:tcBorders>
              <w:top w:val="nil"/>
              <w:left w:val="nil"/>
              <w:bottom w:val="nil"/>
              <w:right w:val="nil"/>
            </w:tcBorders>
            <w:vAlign w:val="bottom"/>
            <w:hideMark/>
          </w:tcPr>
          <w:p w14:paraId="5B830E93"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Tech-themed tokenized funds ($300M 2026 per CNBC)</w:t>
            </w:r>
          </w:p>
        </w:tc>
        <w:tc>
          <w:tcPr>
            <w:tcW w:w="3840" w:type="dxa"/>
            <w:tcBorders>
              <w:top w:val="nil"/>
              <w:left w:val="nil"/>
              <w:bottom w:val="nil"/>
              <w:right w:val="nil"/>
            </w:tcBorders>
            <w:vAlign w:val="bottom"/>
            <w:hideMark/>
          </w:tcPr>
          <w:p w14:paraId="4DD2F49E"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Algo strategies in equities and with high growth</w:t>
            </w:r>
          </w:p>
        </w:tc>
        <w:tc>
          <w:tcPr>
            <w:tcW w:w="3840" w:type="dxa"/>
            <w:tcBorders>
              <w:top w:val="nil"/>
              <w:left w:val="nil"/>
              <w:bottom w:val="nil"/>
              <w:right w:val="nil"/>
            </w:tcBorders>
            <w:vAlign w:val="bottom"/>
            <w:hideMark/>
          </w:tcPr>
          <w:p w14:paraId="30FF3BB9" w14:textId="77777777" w:rsidR="00746C39" w:rsidRPr="00746C39" w:rsidRDefault="00746C39" w:rsidP="00746C39">
            <w:pPr>
              <w:spacing w:line="240" w:lineRule="auto"/>
              <w:rPr>
                <w:rFonts w:ascii="Aptos Narrow" w:eastAsia="Times New Roman" w:hAnsi="Aptos Narrow" w:cs="Times New Roman"/>
                <w:color w:val="467886"/>
                <w:u w:val="single"/>
                <w:lang w:val="en-HK"/>
              </w:rPr>
            </w:pPr>
            <w:hyperlink r:id="rId17" w:history="1">
              <w:r w:rsidRPr="00746C39">
                <w:rPr>
                  <w:rFonts w:ascii="Aptos Narrow" w:eastAsia="Times New Roman" w:hAnsi="Aptos Narrow" w:cs="Times New Roman"/>
                  <w:color w:val="467886"/>
                  <w:u w:val="single"/>
                  <w:lang w:val="en-HK"/>
                </w:rPr>
                <w:t>asiawealth@morganstanley.com</w:t>
              </w:r>
            </w:hyperlink>
          </w:p>
        </w:tc>
        <w:tc>
          <w:tcPr>
            <w:tcW w:w="0" w:type="auto"/>
            <w:tcBorders>
              <w:top w:val="nil"/>
              <w:left w:val="nil"/>
              <w:bottom w:val="nil"/>
              <w:right w:val="nil"/>
            </w:tcBorders>
            <w:noWrap/>
            <w:vAlign w:val="bottom"/>
            <w:hideMark/>
          </w:tcPr>
          <w:p w14:paraId="4AA2F861"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History in AI personalization</w:t>
            </w:r>
          </w:p>
        </w:tc>
      </w:tr>
      <w:tr w:rsidR="00746C39" w:rsidRPr="00746C39" w14:paraId="39C56C1F" w14:textId="77777777">
        <w:trPr>
          <w:trHeight w:val="300"/>
        </w:trPr>
        <w:tc>
          <w:tcPr>
            <w:tcW w:w="3840" w:type="dxa"/>
            <w:tcBorders>
              <w:top w:val="nil"/>
              <w:left w:val="nil"/>
              <w:bottom w:val="nil"/>
              <w:right w:val="nil"/>
            </w:tcBorders>
            <w:vAlign w:val="bottom"/>
            <w:hideMark/>
          </w:tcPr>
          <w:p w14:paraId="79CCA866" w14:textId="77777777" w:rsidR="00746C39" w:rsidRPr="00746C39" w:rsidRDefault="00746C39" w:rsidP="00746C39">
            <w:pPr>
              <w:spacing w:line="240" w:lineRule="auto"/>
              <w:rPr>
                <w:rFonts w:ascii="Aptos Narrow" w:eastAsia="Times New Roman" w:hAnsi="Aptos Narrow" w:cs="Times New Roman"/>
                <w:color w:val="000000"/>
                <w:lang w:val="en-HK"/>
              </w:rPr>
            </w:pPr>
          </w:p>
        </w:tc>
        <w:tc>
          <w:tcPr>
            <w:tcW w:w="3200" w:type="dxa"/>
            <w:tcBorders>
              <w:top w:val="nil"/>
              <w:left w:val="nil"/>
              <w:bottom w:val="nil"/>
              <w:right w:val="nil"/>
            </w:tcBorders>
            <w:vAlign w:val="bottom"/>
            <w:hideMark/>
          </w:tcPr>
          <w:p w14:paraId="3B653BAE"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2500" w:type="dxa"/>
            <w:tcBorders>
              <w:top w:val="nil"/>
              <w:left w:val="nil"/>
              <w:bottom w:val="nil"/>
              <w:right w:val="nil"/>
            </w:tcBorders>
            <w:vAlign w:val="bottom"/>
            <w:hideMark/>
          </w:tcPr>
          <w:p w14:paraId="35AF47F8"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1720" w:type="dxa"/>
            <w:tcBorders>
              <w:top w:val="nil"/>
              <w:left w:val="nil"/>
              <w:bottom w:val="nil"/>
              <w:right w:val="nil"/>
            </w:tcBorders>
            <w:vAlign w:val="bottom"/>
            <w:hideMark/>
          </w:tcPr>
          <w:p w14:paraId="2068D30E"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70759161"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69573983"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3840" w:type="dxa"/>
            <w:tcBorders>
              <w:top w:val="nil"/>
              <w:left w:val="nil"/>
              <w:bottom w:val="nil"/>
              <w:right w:val="nil"/>
            </w:tcBorders>
            <w:vAlign w:val="bottom"/>
            <w:hideMark/>
          </w:tcPr>
          <w:p w14:paraId="5246396B"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c>
          <w:tcPr>
            <w:tcW w:w="0" w:type="auto"/>
            <w:tcBorders>
              <w:top w:val="nil"/>
              <w:left w:val="nil"/>
              <w:bottom w:val="nil"/>
              <w:right w:val="nil"/>
            </w:tcBorders>
            <w:noWrap/>
            <w:vAlign w:val="bottom"/>
            <w:hideMark/>
          </w:tcPr>
          <w:p w14:paraId="6B15AE1D" w14:textId="77777777" w:rsidR="00746C39" w:rsidRPr="00746C39" w:rsidRDefault="00746C39" w:rsidP="00746C39">
            <w:pPr>
              <w:spacing w:line="240" w:lineRule="auto"/>
              <w:rPr>
                <w:rFonts w:ascii="Times New Roman" w:eastAsia="Times New Roman" w:hAnsi="Times New Roman" w:cs="Times New Roman"/>
                <w:sz w:val="20"/>
                <w:szCs w:val="20"/>
                <w:lang w:val="en-HK"/>
              </w:rPr>
            </w:pPr>
          </w:p>
        </w:tc>
      </w:tr>
      <w:tr w:rsidR="00746C39" w:rsidRPr="00746C39" w14:paraId="56E6211E" w14:textId="77777777">
        <w:trPr>
          <w:trHeight w:val="540"/>
        </w:trPr>
        <w:tc>
          <w:tcPr>
            <w:tcW w:w="3840" w:type="dxa"/>
            <w:tcBorders>
              <w:top w:val="nil"/>
              <w:left w:val="nil"/>
              <w:bottom w:val="nil"/>
              <w:right w:val="nil"/>
            </w:tcBorders>
            <w:vAlign w:val="bottom"/>
            <w:hideMark/>
          </w:tcPr>
          <w:p w14:paraId="65D1B627"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Deutsche Bank Private Wealth Asia</w:t>
            </w:r>
          </w:p>
        </w:tc>
        <w:tc>
          <w:tcPr>
            <w:tcW w:w="3200" w:type="dxa"/>
            <w:tcBorders>
              <w:top w:val="nil"/>
              <w:left w:val="nil"/>
              <w:bottom w:val="nil"/>
              <w:right w:val="nil"/>
            </w:tcBorders>
            <w:vAlign w:val="bottom"/>
            <w:hideMark/>
          </w:tcPr>
          <w:p w14:paraId="3945EEA7"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Financial Advisor</w:t>
            </w:r>
          </w:p>
        </w:tc>
        <w:tc>
          <w:tcPr>
            <w:tcW w:w="2500" w:type="dxa"/>
            <w:tcBorders>
              <w:top w:val="nil"/>
              <w:left w:val="nil"/>
              <w:bottom w:val="nil"/>
              <w:right w:val="nil"/>
            </w:tcBorders>
            <w:vAlign w:val="bottom"/>
            <w:hideMark/>
          </w:tcPr>
          <w:p w14:paraId="4AE15981"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Hong Kong</w:t>
            </w:r>
          </w:p>
        </w:tc>
        <w:tc>
          <w:tcPr>
            <w:tcW w:w="1720" w:type="dxa"/>
            <w:tcBorders>
              <w:top w:val="nil"/>
              <w:left w:val="nil"/>
              <w:bottom w:val="nil"/>
              <w:right w:val="nil"/>
            </w:tcBorders>
            <w:vAlign w:val="bottom"/>
            <w:hideMark/>
          </w:tcPr>
          <w:p w14:paraId="423385BA"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$400B+</w:t>
            </w:r>
          </w:p>
        </w:tc>
        <w:tc>
          <w:tcPr>
            <w:tcW w:w="3840" w:type="dxa"/>
            <w:tcBorders>
              <w:top w:val="nil"/>
              <w:left w:val="nil"/>
              <w:bottom w:val="nil"/>
              <w:right w:val="nil"/>
            </w:tcBorders>
            <w:vAlign w:val="bottom"/>
            <w:hideMark/>
          </w:tcPr>
          <w:p w14:paraId="4D9DFE92"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Inflation-linked AMCs ($150M 2026 per Bloomberg)</w:t>
            </w:r>
          </w:p>
        </w:tc>
        <w:tc>
          <w:tcPr>
            <w:tcW w:w="3840" w:type="dxa"/>
            <w:tcBorders>
              <w:top w:val="nil"/>
              <w:left w:val="nil"/>
              <w:bottom w:val="nil"/>
              <w:right w:val="nil"/>
            </w:tcBorders>
            <w:vAlign w:val="bottom"/>
            <w:hideMark/>
          </w:tcPr>
          <w:p w14:paraId="413C0440" w14:textId="77777777" w:rsidR="00746C39" w:rsidRPr="00746C39" w:rsidRDefault="00746C39" w:rsidP="00746C39">
            <w:pPr>
              <w:spacing w:line="240" w:lineRule="auto"/>
              <w:rPr>
                <w:rFonts w:eastAsia="Times New Roman"/>
                <w:color w:val="000000"/>
                <w:lang w:val="en-HK"/>
              </w:rPr>
            </w:pPr>
            <w:r w:rsidRPr="00746C39">
              <w:rPr>
                <w:rFonts w:eastAsia="Times New Roman"/>
                <w:color w:val="000000"/>
                <w:lang w:val="en-HK"/>
              </w:rPr>
              <w:t>Interest rate and commodities, with post-restructuring focus</w:t>
            </w:r>
          </w:p>
        </w:tc>
        <w:tc>
          <w:tcPr>
            <w:tcW w:w="3840" w:type="dxa"/>
            <w:tcBorders>
              <w:top w:val="nil"/>
              <w:left w:val="nil"/>
              <w:bottom w:val="nil"/>
              <w:right w:val="nil"/>
            </w:tcBorders>
            <w:vAlign w:val="bottom"/>
            <w:hideMark/>
          </w:tcPr>
          <w:p w14:paraId="367BE397" w14:textId="77777777" w:rsidR="00746C39" w:rsidRPr="00746C39" w:rsidRDefault="00746C39" w:rsidP="00746C39">
            <w:pPr>
              <w:spacing w:line="240" w:lineRule="auto"/>
              <w:rPr>
                <w:rFonts w:ascii="Aptos Narrow" w:eastAsia="Times New Roman" w:hAnsi="Aptos Narrow" w:cs="Times New Roman"/>
                <w:color w:val="467886"/>
                <w:u w:val="single"/>
                <w:lang w:val="en-HK"/>
              </w:rPr>
            </w:pPr>
            <w:hyperlink r:id="rId18" w:history="1">
              <w:r w:rsidRPr="00746C39">
                <w:rPr>
                  <w:rFonts w:ascii="Aptos Narrow" w:eastAsia="Times New Roman" w:hAnsi="Aptos Narrow" w:cs="Times New Roman"/>
                  <w:color w:val="467886"/>
                  <w:u w:val="single"/>
                  <w:lang w:val="en-HK"/>
                </w:rPr>
                <w:t>privateasia@db.com</w:t>
              </w:r>
            </w:hyperlink>
          </w:p>
        </w:tc>
        <w:tc>
          <w:tcPr>
            <w:tcW w:w="0" w:type="auto"/>
            <w:tcBorders>
              <w:top w:val="nil"/>
              <w:left w:val="nil"/>
              <w:bottom w:val="nil"/>
              <w:right w:val="nil"/>
            </w:tcBorders>
            <w:noWrap/>
            <w:vAlign w:val="bottom"/>
            <w:hideMark/>
          </w:tcPr>
          <w:p w14:paraId="49D6F79D" w14:textId="77777777" w:rsidR="00746C39" w:rsidRPr="00746C39" w:rsidRDefault="00746C39" w:rsidP="00746C39">
            <w:pPr>
              <w:spacing w:line="240" w:lineRule="auto"/>
              <w:rPr>
                <w:rFonts w:ascii="Aptos Narrow" w:eastAsia="Times New Roman" w:hAnsi="Aptos Narrow" w:cs="Times New Roman"/>
                <w:color w:val="000000"/>
                <w:lang w:val="en-HK"/>
              </w:rPr>
            </w:pPr>
            <w:r w:rsidRPr="00746C39">
              <w:rPr>
                <w:rFonts w:ascii="Aptos Narrow" w:eastAsia="Times New Roman" w:hAnsi="Aptos Narrow" w:cs="Times New Roman"/>
                <w:color w:val="000000"/>
                <w:lang w:val="en-HK"/>
              </w:rPr>
              <w:t>Preferences for diversified, regulated portfolios</w:t>
            </w:r>
          </w:p>
        </w:tc>
      </w:tr>
    </w:tbl>
    <w:p w14:paraId="71373487" w14:textId="77777777" w:rsidR="0018393A" w:rsidRDefault="0018393A">
      <w:pPr>
        <w:spacing w:before="240" w:after="240"/>
        <w:rPr>
          <w:b/>
          <w:bCs/>
          <w:sz w:val="26"/>
          <w:szCs w:val="26"/>
        </w:rPr>
      </w:pPr>
    </w:p>
    <w:p w14:paraId="6DE707F1" w14:textId="77777777" w:rsidR="0018393A" w:rsidRDefault="0018393A">
      <w:pPr>
        <w:spacing w:before="240" w:after="240"/>
        <w:rPr>
          <w:b/>
          <w:bCs/>
          <w:sz w:val="26"/>
          <w:szCs w:val="26"/>
        </w:rPr>
      </w:pPr>
    </w:p>
    <w:p w14:paraId="53288DC7" w14:textId="77777777" w:rsidR="0018393A" w:rsidRDefault="0018393A">
      <w:pPr>
        <w:spacing w:before="240" w:after="240"/>
        <w:rPr>
          <w:b/>
          <w:bCs/>
          <w:sz w:val="26"/>
          <w:szCs w:val="26"/>
        </w:rPr>
      </w:pPr>
    </w:p>
    <w:p w14:paraId="55D3F46B" w14:textId="77777777" w:rsidR="0018393A" w:rsidRDefault="0018393A">
      <w:pPr>
        <w:spacing w:before="240" w:after="240"/>
        <w:rPr>
          <w:b/>
          <w:bCs/>
          <w:sz w:val="26"/>
          <w:szCs w:val="26"/>
        </w:rPr>
      </w:pPr>
    </w:p>
    <w:p w14:paraId="3F5480A4" w14:textId="77777777" w:rsidR="0018393A" w:rsidRDefault="0018393A">
      <w:pPr>
        <w:spacing w:before="240" w:after="240"/>
        <w:rPr>
          <w:b/>
          <w:bCs/>
          <w:sz w:val="26"/>
          <w:szCs w:val="26"/>
        </w:rPr>
      </w:pPr>
    </w:p>
    <w:p w14:paraId="27D7F044" w14:textId="77777777" w:rsidR="0018393A" w:rsidRDefault="0018393A">
      <w:pPr>
        <w:spacing w:before="240" w:after="240"/>
        <w:rPr>
          <w:b/>
          <w:bCs/>
          <w:sz w:val="26"/>
          <w:szCs w:val="26"/>
        </w:rPr>
      </w:pPr>
    </w:p>
    <w:p w14:paraId="22292EA1" w14:textId="25B08466" w:rsidR="0018393A" w:rsidRDefault="0018393A">
      <w:pPr>
        <w:spacing w:before="240" w:after="240"/>
        <w:jc w:val="center"/>
        <w:rPr>
          <w:b/>
          <w:bCs/>
          <w:sz w:val="26"/>
          <w:szCs w:val="26"/>
          <w:lang w:val="en-GB"/>
        </w:rPr>
      </w:pPr>
    </w:p>
    <w:p w14:paraId="04AD75D1" w14:textId="77777777" w:rsidR="00746C39" w:rsidRDefault="00746C39">
      <w:pPr>
        <w:spacing w:before="240" w:after="240"/>
        <w:jc w:val="center"/>
        <w:rPr>
          <w:b/>
          <w:bCs/>
          <w:sz w:val="26"/>
          <w:szCs w:val="26"/>
        </w:rPr>
      </w:pPr>
    </w:p>
    <w:p w14:paraId="20EEACBC" w14:textId="77777777" w:rsidR="0018393A" w:rsidRDefault="00D55833">
      <w:pPr>
        <w:pStyle w:val="Heading3"/>
        <w:keepNext w:val="0"/>
        <w:keepLines w:val="0"/>
        <w:spacing w:before="280"/>
        <w:rPr>
          <w:b/>
          <w:bCs/>
          <w:color w:val="000000"/>
          <w:sz w:val="26"/>
          <w:szCs w:val="26"/>
        </w:rPr>
      </w:pPr>
      <w:bookmarkStart w:id="81" w:name="_k8osjawqol44" w:colFirst="0" w:colLast="0"/>
      <w:bookmarkEnd w:id="81"/>
      <w:r>
        <w:br w:type="page"/>
      </w:r>
      <w:r>
        <w:rPr>
          <w:b/>
          <w:bCs/>
          <w:color w:val="000000"/>
          <w:sz w:val="26"/>
          <w:szCs w:val="26"/>
        </w:rPr>
        <w:lastRenderedPageBreak/>
        <w:t>Task 3: Fundraising Strategy Development</w:t>
      </w:r>
    </w:p>
    <w:p w14:paraId="7F655E64" w14:textId="77777777" w:rsidR="0018393A" w:rsidRDefault="00D55833">
      <w:pPr>
        <w:pStyle w:val="Heading4"/>
        <w:keepNext w:val="0"/>
        <w:keepLines w:val="0"/>
        <w:spacing w:before="240" w:after="40"/>
        <w:rPr>
          <w:b/>
          <w:bCs/>
          <w:color w:val="000000"/>
          <w:sz w:val="22"/>
          <w:szCs w:val="22"/>
        </w:rPr>
      </w:pPr>
      <w:bookmarkStart w:id="82" w:name="_h3jhvwqx5hkm" w:colFirst="0" w:colLast="0"/>
      <w:bookmarkEnd w:id="82"/>
      <w:r>
        <w:rPr>
          <w:b/>
          <w:bCs/>
          <w:color w:val="000000"/>
          <w:sz w:val="22"/>
          <w:szCs w:val="22"/>
        </w:rPr>
        <w:t xml:space="preserve"> </w:t>
      </w:r>
    </w:p>
    <w:p w14:paraId="6EE32813" w14:textId="77777777" w:rsidR="0018393A" w:rsidRDefault="00D55833">
      <w:pPr>
        <w:pStyle w:val="Heading4"/>
        <w:keepNext w:val="0"/>
        <w:keepLines w:val="0"/>
        <w:spacing w:before="240" w:after="40"/>
        <w:rPr>
          <w:b/>
          <w:bCs/>
          <w:color w:val="000000"/>
        </w:rPr>
      </w:pPr>
      <w:bookmarkStart w:id="83" w:name="_ixn2czp9kz87" w:colFirst="0" w:colLast="0"/>
      <w:bookmarkEnd w:id="83"/>
      <w:r>
        <w:rPr>
          <w:b/>
          <w:bCs/>
          <w:color w:val="000000"/>
        </w:rPr>
        <w:t xml:space="preserve">Business Plan for Raising $5M AUM for New Tokenized </w:t>
      </w:r>
      <w:bookmarkStart w:id="84" w:name="_Int_COo9MV8n"/>
      <w:r>
        <w:rPr>
          <w:b/>
          <w:bCs/>
          <w:color w:val="000000"/>
        </w:rPr>
        <w:t>Portfolio (</w:t>
      </w:r>
      <w:bookmarkStart w:id="85" w:name="_Int_hKxbUHfc"/>
      <w:bookmarkEnd w:id="84"/>
      <w:r>
        <w:rPr>
          <w:b/>
          <w:bCs/>
          <w:color w:val="000000"/>
        </w:rPr>
        <w:t>ART)</w:t>
      </w:r>
      <w:bookmarkEnd w:id="85"/>
    </w:p>
    <w:p w14:paraId="1B854396" w14:textId="77777777" w:rsidR="0018393A" w:rsidRDefault="0018393A">
      <w:pPr>
        <w:rPr>
          <w:sz w:val="24"/>
          <w:szCs w:val="24"/>
        </w:rPr>
      </w:pPr>
    </w:p>
    <w:p w14:paraId="627E8D82" w14:textId="28DC9D63" w:rsidR="0018393A" w:rsidRDefault="00D55833">
      <w:pPr>
        <w:spacing w:before="240" w:after="240"/>
        <w:jc w:val="both"/>
      </w:pPr>
      <w:r>
        <w:t>AxTrade’s Asset-Referenced</w:t>
      </w:r>
      <w:r w:rsidR="009D1E24">
        <w:rPr>
          <w:lang w:val="en-GB"/>
        </w:rPr>
        <w:t xml:space="preserve"> </w:t>
      </w:r>
      <w:bookmarkStart w:id="86" w:name="_Int_MO7oT0nC"/>
      <w:r>
        <w:t>Token (</w:t>
      </w:r>
      <w:bookmarkStart w:id="87" w:name="_Int_d9GYbq7p"/>
      <w:bookmarkEnd w:id="86"/>
      <w:r>
        <w:t xml:space="preserve">ART) </w:t>
      </w:r>
      <w:bookmarkEnd w:id="87"/>
      <w:r>
        <w:t xml:space="preserve">“AxGlobal Horizon” offers a MiCA-compliant tokenized alternative to traditional AMCs, providing high liquidity, automated AML onboarding, and active management of a diversified </w:t>
      </w:r>
      <w:bookmarkStart w:id="88" w:name="_Int_3JWqLKRy"/>
      <w:r>
        <w:t>portfolio (</w:t>
      </w:r>
      <w:bookmarkEnd w:id="88"/>
      <w:r>
        <w:t>equities/commodities</w:t>
      </w:r>
      <w:bookmarkStart w:id="89" w:name="_Int_73xYu91s"/>
      <w:r>
        <w:t>).</w:t>
      </w:r>
      <w:bookmarkEnd w:id="89"/>
      <w:r>
        <w:t xml:space="preserve"> The target is to raise $5M AUM in the first week via professional investors, with $10K as the minimum per investor enabled by tokenization for </w:t>
      </w:r>
      <w:bookmarkStart w:id="90" w:name="_Int_agJLDj8S"/>
      <w:r>
        <w:t>fractionalization.</w:t>
      </w:r>
      <w:bookmarkEnd w:id="90"/>
      <w:r>
        <w:t xml:space="preserve"> The projected returns are around 10-15% annualized, with blockchain reducing costs by </w:t>
      </w:r>
      <w:bookmarkStart w:id="91" w:name="_Int_29r5my2t"/>
      <w:r>
        <w:t>20%.</w:t>
      </w:r>
      <w:bookmarkEnd w:id="91"/>
    </w:p>
    <w:p w14:paraId="2C07A106" w14:textId="77777777" w:rsidR="0018393A" w:rsidRDefault="0018393A">
      <w:pPr>
        <w:spacing w:before="240" w:after="240"/>
        <w:jc w:val="both"/>
      </w:pPr>
    </w:p>
    <w:p w14:paraId="3BB93321" w14:textId="77777777" w:rsidR="0018393A" w:rsidRDefault="00D55833">
      <w:pPr>
        <w:spacing w:before="240" w:after="240"/>
      </w:pPr>
      <w:r>
        <w:t xml:space="preserve">The tokenization market is poised for explosive growth, reaching a $16 trillion potential by </w:t>
      </w:r>
      <w:bookmarkStart w:id="92" w:name="_Int_tB6im7NX"/>
      <w:r>
        <w:t>2026 (</w:t>
      </w:r>
      <w:bookmarkEnd w:id="92"/>
      <w:r>
        <w:t xml:space="preserve">World Economic </w:t>
      </w:r>
      <w:bookmarkStart w:id="93" w:name="_Int_MzFg5ckt"/>
      <w:r>
        <w:t>Forum)</w:t>
      </w:r>
      <w:bookmarkStart w:id="94" w:name="_Int_vymu8pNB"/>
      <w:bookmarkEnd w:id="93"/>
      <w:r>
        <w:t xml:space="preserve">, fueled </w:t>
      </w:r>
      <w:bookmarkEnd w:id="94"/>
      <w:r>
        <w:t xml:space="preserve">by surging demand in Asia, particularly highlighted by Hong Kong’s innovative tokenization pilot </w:t>
      </w:r>
      <w:bookmarkStart w:id="95" w:name="_Int_j9hZduv8"/>
      <w:r>
        <w:t>programs (</w:t>
      </w:r>
      <w:bookmarkEnd w:id="95"/>
      <w:r>
        <w:t>Reuters 2025-2026</w:t>
      </w:r>
      <w:bookmarkStart w:id="96" w:name="_Int_pN8clHdk"/>
      <w:r>
        <w:t>).</w:t>
      </w:r>
      <w:bookmarkEnd w:id="96"/>
      <w:r>
        <w:t xml:space="preserve"> Asset Referenced </w:t>
      </w:r>
      <w:bookmarkStart w:id="97" w:name="_Int_fiELYunY"/>
      <w:r>
        <w:t>Tokens (</w:t>
      </w:r>
      <w:bookmarkEnd w:id="97"/>
      <w:r>
        <w:t xml:space="preserve">ART) effectively address the limitations of traditional Asset Management </w:t>
      </w:r>
      <w:bookmarkStart w:id="98" w:name="_Int_HStSmMB8"/>
      <w:r>
        <w:t>Certificates (</w:t>
      </w:r>
      <w:bookmarkStart w:id="99" w:name="_Int_2fmAH3jK"/>
      <w:bookmarkEnd w:id="98"/>
      <w:r>
        <w:t>AMCs)</w:t>
      </w:r>
      <w:bookmarkStart w:id="100" w:name="_Int_gNdy6wUo"/>
      <w:bookmarkEnd w:id="99"/>
      <w:r>
        <w:t xml:space="preserve">, such </w:t>
      </w:r>
      <w:bookmarkEnd w:id="100"/>
      <w:r>
        <w:t xml:space="preserve">as poor liquidity, by leveraging blockchain technology while ensuring compliance with regulations like MiCA to enhance transparency and </w:t>
      </w:r>
      <w:bookmarkStart w:id="101" w:name="_Int_uiUAYRcH"/>
      <w:r>
        <w:t>governance.</w:t>
      </w:r>
      <w:bookmarkEnd w:id="101"/>
      <w:r>
        <w:t xml:space="preserve"> In a competitive landscape, while players like GenTwo have demonstrated prototypes yielding 13% returns, AxTrade stands out by focusing on equities and commodities, offering a differentiated approach to capturing this vast </w:t>
      </w:r>
      <w:bookmarkStart w:id="102" w:name="_Int_sEqxwsa6"/>
      <w:r>
        <w:t>opportunity.</w:t>
      </w:r>
      <w:bookmarkEnd w:id="102"/>
    </w:p>
    <w:p w14:paraId="4AEB4B8F" w14:textId="77777777" w:rsidR="0018393A" w:rsidRDefault="00D55833">
      <w:pPr>
        <w:spacing w:before="240" w:after="240"/>
        <w:rPr>
          <w:b/>
          <w:bCs/>
        </w:rPr>
      </w:pPr>
      <w:r>
        <w:br w:type="page"/>
      </w:r>
    </w:p>
    <w:p w14:paraId="3FBE8D3B" w14:textId="77777777" w:rsidR="0018393A" w:rsidRDefault="00D55833">
      <w:pPr>
        <w:spacing w:before="240" w:after="240"/>
        <w:rPr>
          <w:b/>
          <w:bCs/>
          <w:sz w:val="24"/>
          <w:szCs w:val="24"/>
        </w:rPr>
      </w:pPr>
      <w:r>
        <w:rPr>
          <w:b/>
          <w:bCs/>
          <w:sz w:val="24"/>
          <w:szCs w:val="24"/>
        </w:rPr>
        <w:lastRenderedPageBreak/>
        <w:t xml:space="preserve">Strategy and </w:t>
      </w:r>
      <w:bookmarkStart w:id="103" w:name="_Int_T1YaGhfK"/>
      <w:r>
        <w:rPr>
          <w:b/>
          <w:bCs/>
          <w:sz w:val="24"/>
          <w:szCs w:val="24"/>
        </w:rPr>
        <w:t>Operations:</w:t>
      </w:r>
      <w:bookmarkEnd w:id="103"/>
    </w:p>
    <w:p w14:paraId="0C3CF9F0" w14:textId="77777777" w:rsidR="0018393A" w:rsidRDefault="0018393A">
      <w:pPr>
        <w:spacing w:before="240" w:after="240"/>
        <w:rPr>
          <w:b/>
          <w:bCs/>
        </w:rPr>
      </w:pPr>
    </w:p>
    <w:p w14:paraId="1A4D1613" w14:textId="77777777" w:rsidR="0018393A" w:rsidRDefault="00D55833">
      <w:pPr>
        <w:numPr>
          <w:ilvl w:val="0"/>
          <w:numId w:val="1"/>
        </w:numPr>
        <w:spacing w:before="240"/>
        <w:rPr>
          <w:sz w:val="20"/>
          <w:szCs w:val="20"/>
        </w:rPr>
      </w:pPr>
      <w:r>
        <w:rPr>
          <w:b/>
          <w:bCs/>
          <w:sz w:val="20"/>
          <w:szCs w:val="20"/>
        </w:rPr>
        <w:t>Portfolio Management:</w:t>
      </w:r>
      <w:r>
        <w:rPr>
          <w:sz w:val="20"/>
          <w:szCs w:val="20"/>
        </w:rPr>
        <w:t xml:space="preserve"> Global Macro strategy features active adjustments in response to prevailing macroeconomic trends, such as implementing inflation hedges through targeted investments in </w:t>
      </w:r>
      <w:bookmarkStart w:id="104" w:name="_Int_BC9NM2OI"/>
      <w:r>
        <w:rPr>
          <w:sz w:val="20"/>
          <w:szCs w:val="20"/>
        </w:rPr>
        <w:t>commodities.</w:t>
      </w:r>
      <w:bookmarkEnd w:id="104"/>
      <w:r>
        <w:rPr>
          <w:sz w:val="20"/>
          <w:szCs w:val="20"/>
        </w:rPr>
        <w:t xml:space="preserve"> The portfolio allocation consists of 60% in equities, focusing on technology and blue-chip stocks for growth potential, and 40% in commodities like gold and oil for diversification and </w:t>
      </w:r>
      <w:bookmarkStart w:id="105" w:name="_Int_NGx4pXxK"/>
      <w:r>
        <w:rPr>
          <w:sz w:val="20"/>
          <w:szCs w:val="20"/>
        </w:rPr>
        <w:t>stability.</w:t>
      </w:r>
      <w:bookmarkEnd w:id="105"/>
      <w:r>
        <w:rPr>
          <w:sz w:val="20"/>
          <w:szCs w:val="20"/>
        </w:rPr>
        <w:t xml:space="preserve"> NAV is updated in real-time on the blockchain, ensuring transparency and instantaneous accessibility for </w:t>
      </w:r>
      <w:bookmarkStart w:id="106" w:name="_Int_21jdTysI"/>
      <w:r>
        <w:rPr>
          <w:sz w:val="20"/>
          <w:szCs w:val="20"/>
        </w:rPr>
        <w:t>investors.</w:t>
      </w:r>
      <w:bookmarkEnd w:id="106"/>
      <w:r>
        <w:rPr>
          <w:sz w:val="20"/>
          <w:szCs w:val="20"/>
        </w:rPr>
        <w:br/>
      </w:r>
    </w:p>
    <w:p w14:paraId="1A549EFC" w14:textId="77777777" w:rsidR="0018393A" w:rsidRDefault="00D55833">
      <w:pPr>
        <w:numPr>
          <w:ilvl w:val="0"/>
          <w:numId w:val="1"/>
        </w:numPr>
        <w:rPr>
          <w:sz w:val="20"/>
          <w:szCs w:val="20"/>
        </w:rPr>
      </w:pPr>
      <w:r>
        <w:rPr>
          <w:b/>
          <w:bCs/>
          <w:sz w:val="20"/>
          <w:szCs w:val="20"/>
        </w:rPr>
        <w:t>Token Mechanics:</w:t>
      </w:r>
      <w:r>
        <w:rPr>
          <w:sz w:val="20"/>
          <w:szCs w:val="20"/>
        </w:rPr>
        <w:t xml:space="preserve"> Investors can purchase ART that directly represent the portfolio’s NAV, with seamless options to redeem or add funds through a user-friendly </w:t>
      </w:r>
      <w:bookmarkStart w:id="107" w:name="_Int_DVibYal9"/>
      <w:r>
        <w:rPr>
          <w:sz w:val="20"/>
          <w:szCs w:val="20"/>
        </w:rPr>
        <w:t>portal.</w:t>
      </w:r>
      <w:bookmarkEnd w:id="107"/>
      <w:r>
        <w:rPr>
          <w:sz w:val="20"/>
          <w:szCs w:val="20"/>
        </w:rPr>
        <w:t xml:space="preserve"> Custody is handled by a regulated partner, inspired by institutions like Sygnum, ensuring secure asset </w:t>
      </w:r>
      <w:bookmarkStart w:id="108" w:name="_Int_QDCj9Pjk"/>
      <w:r>
        <w:rPr>
          <w:sz w:val="20"/>
          <w:szCs w:val="20"/>
        </w:rPr>
        <w:t>management.</w:t>
      </w:r>
      <w:bookmarkEnd w:id="108"/>
      <w:r>
        <w:rPr>
          <w:sz w:val="20"/>
          <w:szCs w:val="20"/>
        </w:rPr>
        <w:t xml:space="preserve"> Compliance is upheld through MiCA authorization for ART issuance, providing a robust framework for transparency and regulatory </w:t>
      </w:r>
      <w:bookmarkStart w:id="109" w:name="_Int_uWGJg5ey"/>
      <w:r>
        <w:rPr>
          <w:sz w:val="20"/>
          <w:szCs w:val="20"/>
        </w:rPr>
        <w:t>adherence.</w:t>
      </w:r>
      <w:bookmarkEnd w:id="109"/>
      <w:r>
        <w:rPr>
          <w:sz w:val="20"/>
          <w:szCs w:val="20"/>
        </w:rPr>
        <w:br/>
      </w:r>
    </w:p>
    <w:p w14:paraId="3B63F959" w14:textId="77777777" w:rsidR="0018393A" w:rsidRDefault="00D55833">
      <w:pPr>
        <w:numPr>
          <w:ilvl w:val="0"/>
          <w:numId w:val="1"/>
        </w:numPr>
        <w:rPr>
          <w:sz w:val="20"/>
          <w:szCs w:val="20"/>
        </w:rPr>
      </w:pPr>
      <w:r>
        <w:rPr>
          <w:b/>
          <w:bCs/>
          <w:sz w:val="20"/>
          <w:szCs w:val="20"/>
        </w:rPr>
        <w:t>Fundraising Approach:</w:t>
      </w:r>
      <w:r>
        <w:rPr>
          <w:sz w:val="20"/>
          <w:szCs w:val="20"/>
        </w:rPr>
        <w:t xml:space="preserve"> Leverage the investor list from Task 2 for initial outreach through personalized emails, adapted from the Week 2 templates to ensure tailored and compelling </w:t>
      </w:r>
      <w:bookmarkStart w:id="110" w:name="_Int_ELw2jEsY"/>
      <w:r>
        <w:rPr>
          <w:sz w:val="20"/>
          <w:szCs w:val="20"/>
        </w:rPr>
        <w:t>communication.</w:t>
      </w:r>
      <w:bookmarkEnd w:id="110"/>
      <w:r>
        <w:rPr>
          <w:sz w:val="20"/>
          <w:szCs w:val="20"/>
        </w:rPr>
        <w:t xml:space="preserve"> In Phase 1 during Week 1, target 10-20 high-potential investors to secure $5 million in commitments, utilizing interactive webinars and product demos to showcase </w:t>
      </w:r>
      <w:bookmarkStart w:id="111" w:name="_Int_8y4phBNc"/>
      <w:r>
        <w:rPr>
          <w:sz w:val="20"/>
          <w:szCs w:val="20"/>
        </w:rPr>
        <w:t>value.</w:t>
      </w:r>
      <w:bookmarkEnd w:id="111"/>
      <w:r>
        <w:rPr>
          <w:sz w:val="20"/>
          <w:szCs w:val="20"/>
        </w:rPr>
        <w:t xml:space="preserve"> Enhance engagement by actively posting on platforms like X and LinkedIn, focusing on topics such as Real World </w:t>
      </w:r>
      <w:bookmarkStart w:id="112" w:name="_Int_kf2YbSJX"/>
      <w:r>
        <w:rPr>
          <w:sz w:val="20"/>
          <w:szCs w:val="20"/>
        </w:rPr>
        <w:t>Asset (</w:t>
      </w:r>
      <w:bookmarkEnd w:id="112"/>
      <w:r>
        <w:rPr>
          <w:sz w:val="20"/>
          <w:szCs w:val="20"/>
        </w:rPr>
        <w:t>RWA) opportunities to build visibility and attract interest</w:t>
      </w:r>
      <w:bookmarkStart w:id="113" w:name="_Int_TSr6gGYi"/>
      <w:r>
        <w:rPr>
          <w:sz w:val="20"/>
          <w:szCs w:val="20"/>
        </w:rPr>
        <w:t>..</w:t>
      </w:r>
      <w:bookmarkEnd w:id="113"/>
      <w:r>
        <w:rPr>
          <w:sz w:val="20"/>
          <w:szCs w:val="20"/>
        </w:rPr>
        <w:br/>
      </w:r>
    </w:p>
    <w:p w14:paraId="05618FF8" w14:textId="77777777" w:rsidR="0018393A" w:rsidRDefault="00D55833">
      <w:pPr>
        <w:numPr>
          <w:ilvl w:val="0"/>
          <w:numId w:val="1"/>
        </w:numPr>
        <w:rPr>
          <w:sz w:val="20"/>
          <w:szCs w:val="20"/>
        </w:rPr>
      </w:pPr>
      <w:r>
        <w:rPr>
          <w:b/>
          <w:bCs/>
          <w:sz w:val="20"/>
          <w:szCs w:val="20"/>
        </w:rPr>
        <w:t xml:space="preserve">Risks &amp; Mitigation: </w:t>
      </w:r>
      <w:r>
        <w:rPr>
          <w:sz w:val="20"/>
          <w:szCs w:val="20"/>
        </w:rPr>
        <w:t xml:space="preserve">Incorporates robust hedging through strategic diversification across equities and commodities, balancing exposure to economic </w:t>
      </w:r>
      <w:bookmarkStart w:id="114" w:name="_Int_2yb31zoW"/>
      <w:r>
        <w:rPr>
          <w:sz w:val="20"/>
          <w:szCs w:val="20"/>
        </w:rPr>
        <w:t>fluctuations.</w:t>
      </w:r>
      <w:bookmarkEnd w:id="114"/>
      <w:r>
        <w:rPr>
          <w:sz w:val="20"/>
          <w:szCs w:val="20"/>
        </w:rPr>
        <w:t xml:space="preserve"> Regulatory risks are addressed with full MiCA compliance, providing a secure and standardized framework for </w:t>
      </w:r>
      <w:bookmarkStart w:id="115" w:name="_Int_xRqd6ngA"/>
      <w:r>
        <w:rPr>
          <w:sz w:val="20"/>
          <w:szCs w:val="20"/>
        </w:rPr>
        <w:t>operations.</w:t>
      </w:r>
      <w:bookmarkEnd w:id="115"/>
      <w:r>
        <w:rPr>
          <w:sz w:val="20"/>
          <w:szCs w:val="20"/>
        </w:rPr>
        <w:t xml:space="preserve"> Liquidity is significantly enhanced via blockchain technology, which facilitates T+0 settlements for instantaneous and efficient </w:t>
      </w:r>
      <w:bookmarkStart w:id="116" w:name="_Int_RxRpBbqM"/>
      <w:r>
        <w:rPr>
          <w:sz w:val="20"/>
          <w:szCs w:val="20"/>
        </w:rPr>
        <w:t>transactions.</w:t>
      </w:r>
      <w:bookmarkEnd w:id="116"/>
      <w:r>
        <w:rPr>
          <w:sz w:val="20"/>
          <w:szCs w:val="20"/>
        </w:rPr>
        <w:br/>
      </w:r>
    </w:p>
    <w:p w14:paraId="0ADCDF42" w14:textId="77777777" w:rsidR="0018393A" w:rsidRDefault="00D55833">
      <w:pPr>
        <w:numPr>
          <w:ilvl w:val="0"/>
          <w:numId w:val="1"/>
        </w:numPr>
        <w:spacing w:after="240"/>
        <w:rPr>
          <w:sz w:val="20"/>
          <w:szCs w:val="20"/>
        </w:rPr>
      </w:pPr>
      <w:r>
        <w:rPr>
          <w:b/>
          <w:bCs/>
          <w:sz w:val="20"/>
          <w:szCs w:val="20"/>
        </w:rPr>
        <w:t>Financial Projections:</w:t>
      </w:r>
      <w:r>
        <w:rPr>
          <w:sz w:val="20"/>
          <w:szCs w:val="20"/>
        </w:rPr>
        <w:t xml:space="preserve"> Reach $20 million In the first year following the initial $5 million seed round, with revenue generated at $</w:t>
      </w:r>
      <w:bookmarkStart w:id="117" w:name="_Int_tp0wLDT5"/>
      <w:r>
        <w:rPr>
          <w:sz w:val="20"/>
          <w:szCs w:val="20"/>
        </w:rPr>
        <w:t xml:space="preserve">300,000 primarily </w:t>
      </w:r>
      <w:bookmarkEnd w:id="117"/>
      <w:r>
        <w:rPr>
          <w:sz w:val="20"/>
          <w:szCs w:val="20"/>
        </w:rPr>
        <w:t xml:space="preserve">from management fees, reflecting steady growth and operational efficiency in the tokenized asset </w:t>
      </w:r>
      <w:bookmarkStart w:id="118" w:name="_Int_Sz5tTdjb"/>
      <w:r>
        <w:rPr>
          <w:sz w:val="20"/>
          <w:szCs w:val="20"/>
        </w:rPr>
        <w:t>space.</w:t>
      </w:r>
      <w:bookmarkEnd w:id="118"/>
    </w:p>
    <w:p w14:paraId="566DA95D" w14:textId="77777777" w:rsidR="0018393A" w:rsidRDefault="0018393A">
      <w:pPr>
        <w:pStyle w:val="Heading4"/>
        <w:keepNext w:val="0"/>
        <w:keepLines w:val="0"/>
        <w:spacing w:before="240" w:after="40"/>
        <w:rPr>
          <w:b/>
          <w:bCs/>
          <w:color w:val="000000"/>
          <w:sz w:val="22"/>
          <w:szCs w:val="22"/>
        </w:rPr>
      </w:pPr>
      <w:bookmarkStart w:id="119" w:name="_j8b3bm31luh5" w:colFirst="0" w:colLast="0"/>
      <w:bookmarkEnd w:id="119"/>
    </w:p>
    <w:p w14:paraId="48072C14" w14:textId="77777777" w:rsidR="0018393A" w:rsidRDefault="0018393A">
      <w:pPr>
        <w:pStyle w:val="Heading4"/>
        <w:keepNext w:val="0"/>
        <w:keepLines w:val="0"/>
        <w:spacing w:before="240" w:after="40"/>
        <w:rPr>
          <w:b/>
          <w:bCs/>
          <w:color w:val="000000"/>
          <w:sz w:val="22"/>
          <w:szCs w:val="22"/>
        </w:rPr>
      </w:pPr>
      <w:bookmarkStart w:id="120" w:name="_z9llddxjtcz2" w:colFirst="0" w:colLast="0"/>
      <w:bookmarkEnd w:id="120"/>
    </w:p>
    <w:p w14:paraId="5632C631" w14:textId="77777777" w:rsidR="0018393A" w:rsidRDefault="00D55833">
      <w:pPr>
        <w:pStyle w:val="Heading4"/>
        <w:keepNext w:val="0"/>
        <w:keepLines w:val="0"/>
        <w:spacing w:before="240" w:after="40"/>
        <w:rPr>
          <w:b/>
          <w:bCs/>
          <w:color w:val="000000"/>
          <w:sz w:val="22"/>
          <w:szCs w:val="22"/>
        </w:rPr>
      </w:pPr>
      <w:bookmarkStart w:id="121" w:name="_1vj2ktgbnqpf" w:colFirst="0" w:colLast="0"/>
      <w:bookmarkEnd w:id="121"/>
      <w:r>
        <w:rPr>
          <w:b/>
          <w:bCs/>
          <w:color w:val="000000"/>
          <w:sz w:val="22"/>
          <w:szCs w:val="22"/>
        </w:rPr>
        <w:t>Proposed Fee Structure</w:t>
      </w:r>
    </w:p>
    <w:p w14:paraId="74EA3837" w14:textId="77777777" w:rsidR="0018393A" w:rsidRDefault="00D55833">
      <w:pPr>
        <w:numPr>
          <w:ilvl w:val="0"/>
          <w:numId w:val="2"/>
        </w:numPr>
        <w:spacing w:before="240"/>
      </w:pPr>
      <w:r>
        <w:rPr>
          <w:b/>
          <w:bCs/>
        </w:rPr>
        <w:t>Management Fees</w:t>
      </w:r>
      <w:bookmarkStart w:id="122" w:name="_Int_yHGmuuB4"/>
      <w:r>
        <w:rPr>
          <w:b/>
          <w:bCs/>
        </w:rPr>
        <w:t>:</w:t>
      </w:r>
      <w:r>
        <w:t xml:space="preserve"> 1.5% </w:t>
      </w:r>
      <w:bookmarkEnd w:id="122"/>
      <w:r>
        <w:t xml:space="preserve">annual on </w:t>
      </w:r>
      <w:bookmarkStart w:id="123" w:name="_Int_G2ArFYtj"/>
      <w:r>
        <w:t>AUM (</w:t>
      </w:r>
      <w:bookmarkEnd w:id="123"/>
      <w:r>
        <w:t>competitive vs traditional AMCs at 2%; covers active management/blockchain ops</w:t>
      </w:r>
      <w:bookmarkStart w:id="124" w:name="_Int_njVRC0ft"/>
      <w:r>
        <w:t>).</w:t>
      </w:r>
      <w:bookmarkEnd w:id="124"/>
      <w:r>
        <w:br/>
      </w:r>
    </w:p>
    <w:p w14:paraId="587B7DD4" w14:textId="77777777" w:rsidR="0018393A" w:rsidRDefault="00D55833">
      <w:pPr>
        <w:numPr>
          <w:ilvl w:val="0"/>
          <w:numId w:val="2"/>
        </w:numPr>
      </w:pPr>
      <w:r>
        <w:rPr>
          <w:b/>
          <w:bCs/>
        </w:rPr>
        <w:t>Performance Fees</w:t>
      </w:r>
      <w:bookmarkStart w:id="125" w:name="_Int_kUoPYwCw"/>
      <w:r>
        <w:rPr>
          <w:b/>
          <w:bCs/>
        </w:rPr>
        <w:t>:</w:t>
      </w:r>
      <w:r>
        <w:t xml:space="preserve"> 20% </w:t>
      </w:r>
      <w:bookmarkEnd w:id="125"/>
      <w:r>
        <w:t xml:space="preserve">on returns above 8% </w:t>
      </w:r>
      <w:bookmarkStart w:id="126" w:name="_Int_lGBYYGW6"/>
      <w:r>
        <w:t>benchmark (</w:t>
      </w:r>
      <w:bookmarkEnd w:id="126"/>
      <w:r>
        <w:t xml:space="preserve">MSCI </w:t>
      </w:r>
      <w:bookmarkStart w:id="127" w:name="_Int_oxoD4US3"/>
      <w:r>
        <w:t xml:space="preserve">World + </w:t>
      </w:r>
      <w:bookmarkEnd w:id="127"/>
      <w:r>
        <w:t>commodities index, incentivizes outperformance</w:t>
      </w:r>
      <w:bookmarkStart w:id="128" w:name="_Int_Mxs4Kssj"/>
      <w:r>
        <w:t>).</w:t>
      </w:r>
      <w:bookmarkEnd w:id="128"/>
      <w:r>
        <w:br/>
      </w:r>
    </w:p>
    <w:p w14:paraId="149724C8" w14:textId="77777777" w:rsidR="0018393A" w:rsidRDefault="00D55833">
      <w:pPr>
        <w:numPr>
          <w:ilvl w:val="0"/>
          <w:numId w:val="2"/>
        </w:numPr>
        <w:spacing w:after="240"/>
      </w:pPr>
      <w:r>
        <w:rPr>
          <w:b/>
          <w:bCs/>
        </w:rPr>
        <w:t>Distribution Fees</w:t>
      </w:r>
      <w:bookmarkStart w:id="129" w:name="_Int_sk3HVUKb"/>
      <w:r>
        <w:rPr>
          <w:b/>
          <w:bCs/>
        </w:rPr>
        <w:t>:</w:t>
      </w:r>
      <w:r>
        <w:t xml:space="preserve"> 0.5% </w:t>
      </w:r>
      <w:bookmarkEnd w:id="129"/>
      <w:r>
        <w:t xml:space="preserve">one-time on </w:t>
      </w:r>
      <w:bookmarkStart w:id="130" w:name="_Int_fAUTASPO"/>
      <w:r>
        <w:t>inflows (</w:t>
      </w:r>
      <w:bookmarkEnd w:id="130"/>
      <w:r>
        <w:t xml:space="preserve">for marketing or outreach, waived </w:t>
      </w:r>
      <w:bookmarkStart w:id="131" w:name="_Int_3CUoGDZ9"/>
      <w:r>
        <w:t>for &gt;</w:t>
      </w:r>
      <w:bookmarkEnd w:id="131"/>
      <w:r>
        <w:t>$500K investments to attract larger commitments</w:t>
      </w:r>
      <w:bookmarkStart w:id="132" w:name="_Int_w5CpnXA8"/>
      <w:r>
        <w:t>).</w:t>
      </w:r>
      <w:bookmarkEnd w:id="132"/>
      <w:r>
        <w:br/>
      </w:r>
      <w:r>
        <w:br w:type="page"/>
      </w:r>
    </w:p>
    <w:p w14:paraId="056ABC51" w14:textId="77777777" w:rsidR="0018393A" w:rsidRDefault="00D55833">
      <w:pPr>
        <w:spacing w:before="240" w:after="240"/>
        <w:rPr>
          <w:b/>
          <w:bCs/>
          <w:sz w:val="26"/>
          <w:szCs w:val="26"/>
        </w:rPr>
      </w:pPr>
      <w:r>
        <w:rPr>
          <w:b/>
          <w:bCs/>
          <w:sz w:val="26"/>
          <w:szCs w:val="26"/>
        </w:rPr>
        <w:lastRenderedPageBreak/>
        <w:t>Task 4: Investor Pitch Preparation</w:t>
      </w:r>
    </w:p>
    <w:p w14:paraId="6AC7109E" w14:textId="77777777" w:rsidR="0018393A" w:rsidRDefault="0018393A">
      <w:pPr>
        <w:spacing w:before="240" w:after="240"/>
        <w:jc w:val="center"/>
        <w:rPr>
          <w:b/>
          <w:bCs/>
          <w:sz w:val="26"/>
          <w:szCs w:val="26"/>
        </w:rPr>
      </w:pPr>
    </w:p>
    <w:p w14:paraId="71D56925" w14:textId="77777777" w:rsidR="0018393A" w:rsidRDefault="0018393A">
      <w:pPr>
        <w:spacing w:before="240" w:after="240"/>
        <w:jc w:val="center"/>
        <w:rPr>
          <w:b/>
          <w:bCs/>
          <w:sz w:val="26"/>
          <w:szCs w:val="26"/>
        </w:rPr>
      </w:pPr>
    </w:p>
    <w:p w14:paraId="232F91ED" w14:textId="77777777" w:rsidR="0018393A" w:rsidRDefault="0018393A">
      <w:pPr>
        <w:spacing w:before="240" w:after="240"/>
        <w:jc w:val="center"/>
        <w:rPr>
          <w:b/>
          <w:bCs/>
          <w:sz w:val="26"/>
          <w:szCs w:val="26"/>
        </w:rPr>
      </w:pPr>
    </w:p>
    <w:p w14:paraId="72FDF0B6" w14:textId="77777777" w:rsidR="0018393A" w:rsidRDefault="0018393A">
      <w:pPr>
        <w:spacing w:before="240" w:after="240"/>
        <w:jc w:val="center"/>
        <w:rPr>
          <w:b/>
          <w:bCs/>
          <w:sz w:val="26"/>
          <w:szCs w:val="26"/>
        </w:rPr>
      </w:pPr>
    </w:p>
    <w:p w14:paraId="13085820" w14:textId="77777777" w:rsidR="0018393A" w:rsidRDefault="0018393A">
      <w:pPr>
        <w:spacing w:before="240" w:after="240"/>
        <w:jc w:val="center"/>
        <w:rPr>
          <w:b/>
          <w:bCs/>
          <w:sz w:val="26"/>
          <w:szCs w:val="26"/>
        </w:rPr>
      </w:pPr>
    </w:p>
    <w:p w14:paraId="42298D94" w14:textId="77777777" w:rsidR="0018393A" w:rsidRDefault="0018393A">
      <w:pPr>
        <w:spacing w:before="240" w:after="240"/>
        <w:jc w:val="center"/>
        <w:rPr>
          <w:b/>
          <w:bCs/>
          <w:sz w:val="26"/>
          <w:szCs w:val="26"/>
        </w:rPr>
      </w:pPr>
    </w:p>
    <w:p w14:paraId="4F294B52" w14:textId="77777777" w:rsidR="0018393A" w:rsidRDefault="0018393A">
      <w:pPr>
        <w:spacing w:before="240" w:after="240"/>
        <w:jc w:val="center"/>
        <w:rPr>
          <w:b/>
          <w:bCs/>
          <w:sz w:val="26"/>
          <w:szCs w:val="26"/>
        </w:rPr>
      </w:pPr>
    </w:p>
    <w:p w14:paraId="7E3B597C" w14:textId="77777777" w:rsidR="0018393A" w:rsidRDefault="0018393A">
      <w:pPr>
        <w:spacing w:before="240" w:after="240"/>
        <w:jc w:val="center"/>
        <w:rPr>
          <w:b/>
          <w:bCs/>
          <w:sz w:val="26"/>
          <w:szCs w:val="26"/>
        </w:rPr>
      </w:pPr>
    </w:p>
    <w:p w14:paraId="45E4DBF0" w14:textId="77777777" w:rsidR="0018393A" w:rsidRDefault="0018393A">
      <w:pPr>
        <w:spacing w:before="240" w:after="240"/>
        <w:jc w:val="center"/>
        <w:rPr>
          <w:b/>
          <w:bCs/>
          <w:sz w:val="26"/>
          <w:szCs w:val="26"/>
        </w:rPr>
      </w:pPr>
    </w:p>
    <w:p w14:paraId="77D6639F" w14:textId="77777777" w:rsidR="0018393A" w:rsidRDefault="00D55833">
      <w:pPr>
        <w:spacing w:before="240" w:after="240"/>
        <w:jc w:val="center"/>
        <w:rPr>
          <w:b/>
          <w:bCs/>
          <w:sz w:val="26"/>
          <w:szCs w:val="26"/>
        </w:rPr>
      </w:pPr>
      <w:bookmarkStart w:id="133" w:name="_Int_uKAmTOer"/>
      <w:r>
        <w:rPr>
          <w:b/>
          <w:bCs/>
          <w:sz w:val="26"/>
          <w:szCs w:val="26"/>
        </w:rPr>
        <w:t xml:space="preserve">(Content </w:t>
      </w:r>
      <w:bookmarkEnd w:id="133"/>
      <w:r>
        <w:rPr>
          <w:b/>
          <w:bCs/>
          <w:sz w:val="26"/>
          <w:szCs w:val="26"/>
        </w:rPr>
        <w:t xml:space="preserve">in PowerPoint from another uploaded </w:t>
      </w:r>
      <w:bookmarkStart w:id="134" w:name="_Int_MFvRQzsK"/>
      <w:r>
        <w:rPr>
          <w:b/>
          <w:bCs/>
          <w:sz w:val="26"/>
          <w:szCs w:val="26"/>
        </w:rPr>
        <w:t>file)</w:t>
      </w:r>
      <w:bookmarkEnd w:id="134"/>
    </w:p>
    <w:p w14:paraId="76B8B801" w14:textId="77777777" w:rsidR="0018393A" w:rsidRDefault="0018393A">
      <w:pPr>
        <w:pStyle w:val="Heading3"/>
        <w:keepNext w:val="0"/>
        <w:keepLines w:val="0"/>
        <w:spacing w:before="280"/>
      </w:pPr>
      <w:bookmarkStart w:id="135" w:name="_92y141f43579" w:colFirst="0" w:colLast="0"/>
      <w:bookmarkEnd w:id="135"/>
    </w:p>
    <w:sectPr w:rsidR="0018393A">
      <w:headerReference w:type="default" r:id="rId19"/>
      <w:footerReference w:type="default" r:id="rId2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A04C3" w14:textId="77777777" w:rsidR="003C2760" w:rsidRDefault="003C2760">
      <w:pPr>
        <w:spacing w:line="240" w:lineRule="auto"/>
      </w:pPr>
      <w:r>
        <w:separator/>
      </w:r>
    </w:p>
  </w:endnote>
  <w:endnote w:type="continuationSeparator" w:id="0">
    <w:p w14:paraId="5744D112" w14:textId="77777777" w:rsidR="003C2760" w:rsidRDefault="003C27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6C965" w14:textId="77777777" w:rsidR="0018393A" w:rsidRDefault="001839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7B31E" w14:textId="77777777" w:rsidR="003C2760" w:rsidRDefault="003C2760">
      <w:pPr>
        <w:spacing w:line="240" w:lineRule="auto"/>
      </w:pPr>
      <w:r>
        <w:separator/>
      </w:r>
    </w:p>
  </w:footnote>
  <w:footnote w:type="continuationSeparator" w:id="0">
    <w:p w14:paraId="08C1515A" w14:textId="77777777" w:rsidR="003C2760" w:rsidRDefault="003C27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3D42" w14:textId="77777777" w:rsidR="0018393A" w:rsidRDefault="0018393A"/>
</w:hdr>
</file>

<file path=word/intelligence2.xml><?xml version="1.0" encoding="utf-8"?>
<int2:intelligence xmlns:int2="http://schemas.microsoft.com/office/intelligence/2020/intelligence" xmlns:oel="http://schemas.microsoft.com/office/2019/extlst">
  <int2:observations>
    <int2:bookmark int2:bookmarkName="_Int_hPy44mOR" int2:invalidationBookmarkName="" int2:hashCode="0w2HvQ1jH+fSCD" int2:id="0wmmft3F">
      <int2:state int2:value="Rejected" int2:type="gram"/>
    </int2:bookmark>
    <int2:bookmark int2:bookmarkName="_Int_hwao5oY1" int2:invalidationBookmarkName="" int2:hashCode="7OLsAiz3HeegbQ" int2:id="MOKZIHcx">
      <int2:state int2:value="Rejected" int2:type="gram"/>
    </int2:bookmark>
    <int2:bookmark int2:bookmarkName="_Int_5FElY6CD" int2:invalidationBookmarkName="" int2:hashCode="uPkm+wwki+6otA" int2:id="1WwH8Rfs">
      <int2:state int2:value="Rejected" int2:type="gram"/>
    </int2:bookmark>
    <int2:bookmark int2:bookmarkName="_Int_mrlr97At" int2:invalidationBookmarkName="" int2:hashCode="0w2HvQ1jH+fSCD" int2:id="2XccMFjf">
      <int2:state int2:value="Rejected" int2:type="gram"/>
    </int2:bookmark>
    <int2:bookmark int2:bookmarkName="_Int_6vGkeSYD" int2:invalidationBookmarkName="" int2:hashCode="SSVBNVhzsY7gu9" int2:id="qeCw1Xx9">
      <int2:state int2:value="Rejected" int2:type="gram"/>
    </int2:bookmark>
    <int2:bookmark int2:bookmarkName="_Int_lHtJQ0TD" int2:invalidationBookmarkName="" int2:hashCode="1BkZQHzo94ts2J" int2:id="k7iXdKLU">
      <int2:state int2:value="Rejected" int2:type="gram"/>
    </int2:bookmark>
    <int2:bookmark int2:bookmarkName="_Int_lz7huGe2" int2:invalidationBookmarkName="" int2:hashCode="69UJsTeG+hWjV9" int2:id="u3mgFrT7">
      <int2:state int2:value="Rejected" int2:type="gram"/>
    </int2:bookmark>
    <int2:bookmark int2:bookmarkName="_Int_aLvXnxXN" int2:invalidationBookmarkName="" int2:hashCode="2IRnq+hf/WzweJ" int2:id="Bg29zUU0">
      <int2:state int2:value="Rejected" int2:type="gram"/>
    </int2:bookmark>
    <int2:bookmark int2:bookmarkName="_Int_4m5bNkNz" int2:invalidationBookmarkName="" int2:hashCode="QMz0qq7wgZ3DWt" int2:id="aJO4GqdY">
      <int2:state int2:value="Rejected" int2:type="gram"/>
    </int2:bookmark>
    <int2:bookmark int2:bookmarkName="_Int_Pcdhs5Rh" int2:invalidationBookmarkName="" int2:hashCode="X5vQltW0aZ4xE1" int2:id="fGtQHZAy">
      <int2:state int2:value="Rejected" int2:type="gram"/>
    </int2:bookmark>
    <int2:bookmark int2:bookmarkName="_Int_tTZTuyi5" int2:invalidationBookmarkName="" int2:hashCode="CptwB4ZoZto6YO" int2:id="ccHpVi82">
      <int2:state int2:value="Rejected" int2:type="gram"/>
    </int2:bookmark>
    <int2:bookmark int2:bookmarkName="_Int_USmHF9RZ" int2:invalidationBookmarkName="" int2:hashCode="69UJsTeG+hWjV9" int2:id="25FQQ3Vm">
      <int2:state int2:value="Rejected" int2:type="gram"/>
    </int2:bookmark>
    <int2:bookmark int2:bookmarkName="_Int_gF6TH2RC" int2:invalidationBookmarkName="" int2:hashCode="yk0TFPSbtaI/pa" int2:id="zYCapZ6K">
      <int2:state int2:value="Rejected" int2:type="gram"/>
    </int2:bookmark>
    <int2:bookmark int2:bookmarkName="_Int_YPqZ7JF7" int2:invalidationBookmarkName="" int2:hashCode="fZl65kNf+lAxmv" int2:id="aETl5cVW">
      <int2:state int2:value="Rejected" int2:type="gram"/>
    </int2:bookmark>
    <int2:bookmark int2:bookmarkName="_Int_sWAWlWp8" int2:invalidationBookmarkName="" int2:hashCode="HRHEQQUZH3L/oD" int2:id="zpQMSBr5">
      <int2:state int2:value="Rejected" int2:type="gram"/>
    </int2:bookmark>
    <int2:bookmark int2:bookmarkName="_Int_RdGZYB8m" int2:invalidationBookmarkName="" int2:hashCode="ex0ffazomukqXj" int2:id="pieQp9AA">
      <int2:state int2:value="Rejected" int2:type="gram"/>
    </int2:bookmark>
    <int2:bookmark int2:bookmarkName="_Int_cE2WVvFQ" int2:invalidationBookmarkName="" int2:hashCode="O48Om3xka+ZeK2" int2:id="Z0PlZ7ll">
      <int2:state int2:value="Rejected" int2:type="gram"/>
    </int2:bookmark>
    <int2:bookmark int2:bookmarkName="_Int_qXopykEE" int2:invalidationBookmarkName="" int2:hashCode="qmvq53JFc6hLQ6" int2:id="YW12U63x">
      <int2:state int2:value="Rejected" int2:type="gram"/>
    </int2:bookmark>
    <int2:bookmark int2:bookmarkName="_Int_Cfwwr1EC" int2:invalidationBookmarkName="" int2:hashCode="xhL/3r00HF987p" int2:id="SR59APQJ">
      <int2:state int2:value="Rejected" int2:type="gram"/>
    </int2:bookmark>
    <int2:bookmark int2:bookmarkName="_Int_naLzfDoa" int2:invalidationBookmarkName="" int2:hashCode="7cNzgAVDAFXlg6" int2:id="AOZPFzzW">
      <int2:state int2:value="Rejected" int2:type="gram"/>
    </int2:bookmark>
    <int2:bookmark int2:bookmarkName="_Int_isXUZrjj" int2:invalidationBookmarkName="" int2:hashCode="/VM4eSpXyqi/UU" int2:id="ZXUffWfX">
      <int2:state int2:value="Rejected" int2:type="gram"/>
    </int2:bookmark>
    <int2:bookmark int2:bookmarkName="_Int_VWgEOPHM" int2:invalidationBookmarkName="" int2:hashCode="P8H+XzP8/IwhJE" int2:id="zzikoSEW">
      <int2:state int2:value="Rejected" int2:type="gram"/>
    </int2:bookmark>
    <int2:bookmark int2:bookmarkName="_Int_LeBsAlSp" int2:invalidationBookmarkName="" int2:hashCode="LvXkRSqqClvJci" int2:id="KFROd5K4">
      <int2:state int2:value="Rejected" int2:type="gram"/>
    </int2:bookmark>
    <int2:bookmark int2:bookmarkName="_Int_b2Pp0EFJ" int2:invalidationBookmarkName="" int2:hashCode="DcYpL8fPBdzba4" int2:id="JY5sbVYH">
      <int2:state int2:value="Rejected" int2:type="gram"/>
    </int2:bookmark>
    <int2:bookmark int2:bookmarkName="_Int_3LDYZL5R" int2:invalidationBookmarkName="" int2:hashCode="2Nx1qpKvytUW5z" int2:id="ZdxPd7AZ">
      <int2:state int2:value="Rejected" int2:type="gram"/>
    </int2:bookmark>
    <int2:bookmark int2:bookmarkName="_Int_Usp4Nrbx" int2:invalidationBookmarkName="" int2:hashCode="/ygBJLPDkTxEc5" int2:id="ajlNBQ8T">
      <int2:state int2:value="Rejected" int2:type="gram"/>
    </int2:bookmark>
    <int2:bookmark int2:bookmarkName="_Int_NAUvd8L8" int2:invalidationBookmarkName="" int2:hashCode="tXCB4GdDcSpupN" int2:id="cxxE2DG5">
      <int2:state int2:value="Rejected" int2:type="gram"/>
    </int2:bookmark>
    <int2:bookmark int2:bookmarkName="_Int_VHw4h9gq" int2:invalidationBookmarkName="" int2:hashCode="mB781JwZznbeGT" int2:id="G7Hw97LK">
      <int2:state int2:value="Rejected" int2:type="gram"/>
    </int2:bookmark>
    <int2:bookmark int2:bookmarkName="_Int_bSp6dexa" int2:invalidationBookmarkName="" int2:hashCode="Wc0Yex0OoMoKg4" int2:id="kKJ4Na4R">
      <int2:state int2:value="Rejected" int2:type="gram"/>
    </int2:bookmark>
    <int2:bookmark int2:bookmarkName="_Int_z54eScsy" int2:invalidationBookmarkName="" int2:hashCode="cpFnRvpIJx1vh+" int2:id="f9C9YHA8">
      <int2:state int2:value="Rejected" int2:type="gram"/>
    </int2:bookmark>
    <int2:bookmark int2:bookmarkName="_Int_7fkBbCgA" int2:invalidationBookmarkName="" int2:hashCode="YBUXYXN896SY65" int2:id="oECZoNbL">
      <int2:state int2:value="Rejected" int2:type="gram"/>
    </int2:bookmark>
    <int2:bookmark int2:bookmarkName="_Int_5bpsjXyF" int2:invalidationBookmarkName="" int2:hashCode="Pa8relfj7l2ZCo" int2:id="iopJbSmf">
      <int2:state int2:value="Rejected" int2:type="gram"/>
    </int2:bookmark>
    <int2:bookmark int2:bookmarkName="_Int_3kJgCJOM" int2:invalidationBookmarkName="" int2:hashCode="BX0D2KNnJvzbm/" int2:id="EJZBJkYk">
      <int2:state int2:value="Rejected" int2:type="gram"/>
    </int2:bookmark>
    <int2:bookmark int2:bookmarkName="_Int_qo0X9HIy" int2:invalidationBookmarkName="" int2:hashCode="Gwl+HXL3F/cTOy" int2:id="wkOXkz6n">
      <int2:state int2:value="Rejected" int2:type="gram"/>
    </int2:bookmark>
    <int2:bookmark int2:bookmarkName="_Int_3VyHimjo" int2:invalidationBookmarkName="" int2:hashCode="udxo7v/1WChJa5" int2:id="6Sk24BYE">
      <int2:state int2:value="Rejected" int2:type="gram"/>
    </int2:bookmark>
    <int2:bookmark int2:bookmarkName="_Int_NwgQAJ87" int2:invalidationBookmarkName="" int2:hashCode="HmIR6iBLtGKgwt" int2:id="6ENeEPHq">
      <int2:state int2:value="Rejected" int2:type="gram"/>
    </int2:bookmark>
    <int2:bookmark int2:bookmarkName="_Int_NTKUSsTj" int2:invalidationBookmarkName="" int2:hashCode="pN+m9ipWsscExo" int2:id="xTUKD3uV">
      <int2:state int2:value="Rejected" int2:type="gram"/>
    </int2:bookmark>
    <int2:bookmark int2:bookmarkName="_Int_QWTlImD2" int2:invalidationBookmarkName="" int2:hashCode="/pnLHKwmMYIq6k" int2:id="3oBWpkDb">
      <int2:state int2:value="Rejected" int2:type="gram"/>
    </int2:bookmark>
    <int2:bookmark int2:bookmarkName="_Int_yjAWbLip" int2:invalidationBookmarkName="" int2:hashCode="Wc0Yex0OoMoKg4" int2:id="RhcqvD5K">
      <int2:state int2:value="Rejected" int2:type="gram"/>
    </int2:bookmark>
    <int2:bookmark int2:bookmarkName="_Int_vhKIadhE" int2:invalidationBookmarkName="" int2:hashCode="saVrULyfpxejYh" int2:id="mFby8vw0">
      <int2:state int2:value="Rejected" int2:type="gram"/>
    </int2:bookmark>
    <int2:bookmark int2:bookmarkName="_Int_OTfCPDtL" int2:invalidationBookmarkName="" int2:hashCode="eKKJhuXZYfaS5M" int2:id="GCIZQrFt">
      <int2:state int2:value="Rejected" int2:type="gram"/>
    </int2:bookmark>
    <int2:bookmark int2:bookmarkName="_Int_CQdDiJFN" int2:invalidationBookmarkName="" int2:hashCode="isPgt3RJGfXNmc" int2:id="jvcp42qM">
      <int2:state int2:value="Rejected" int2:type="gram"/>
    </int2:bookmark>
    <int2:bookmark int2:bookmarkName="_Int_BU4tUcbc" int2:invalidationBookmarkName="" int2:hashCode="Bqn4sKDz8bhdCh" int2:id="RzG2kL6O">
      <int2:state int2:value="Rejected" int2:type="gram"/>
    </int2:bookmark>
    <int2:bookmark int2:bookmarkName="_Int_VttgDfBk" int2:invalidationBookmarkName="" int2:hashCode="Dy0Uun0XvNLiGp" int2:id="2LBfoX0k">
      <int2:state int2:value="Rejected" int2:type="gram"/>
    </int2:bookmark>
    <int2:bookmark int2:bookmarkName="_Int_SB9uOpgp" int2:invalidationBookmarkName="" int2:hashCode="udxo7v/1WChJa5" int2:id="fEhGsnuS">
      <int2:state int2:value="Rejected" int2:type="gram"/>
    </int2:bookmark>
    <int2:bookmark int2:bookmarkName="_Int_r0FNPd6O" int2:invalidationBookmarkName="" int2:hashCode="XDIDIL+9g4wOMq" int2:id="xqdNA6cb">
      <int2:state int2:value="Rejected" int2:type="gram"/>
    </int2:bookmark>
    <int2:bookmark int2:bookmarkName="_Int_NfU6QHns" int2:invalidationBookmarkName="" int2:hashCode="/ygBJLPDkTxEc5" int2:id="E6iS16MC">
      <int2:state int2:value="Rejected" int2:type="gram"/>
    </int2:bookmark>
    <int2:bookmark int2:bookmarkName="_Int_kCJgLB7a" int2:invalidationBookmarkName="" int2:hashCode="n8YIbo5NA3UIkR" int2:id="dYE4cl2G">
      <int2:state int2:value="Rejected" int2:type="gram"/>
    </int2:bookmark>
    <int2:bookmark int2:bookmarkName="_Int_VAZseZ9C" int2:invalidationBookmarkName="" int2:hashCode="Wc0Yex0OoMoKg4" int2:id="QOid80AT">
      <int2:state int2:value="Rejected" int2:type="gram"/>
    </int2:bookmark>
    <int2:bookmark int2:bookmarkName="_Int_2xymImdm" int2:invalidationBookmarkName="" int2:hashCode="9Rnv7EDbJ3MKGM" int2:id="gdMOnN2u">
      <int2:state int2:value="Rejected" int2:type="gram"/>
    </int2:bookmark>
    <int2:bookmark int2:bookmarkName="_Int_BvaInmkx" int2:invalidationBookmarkName="" int2:hashCode="aGQr47gLd0w/PL" int2:id="y3eoaqGk">
      <int2:state int2:value="Rejected" int2:type="gram"/>
    </int2:bookmark>
    <int2:bookmark int2:bookmarkName="_Int_ssOakjgZ" int2:invalidationBookmarkName="" int2:hashCode="LnqUrxij3OP2gK" int2:id="GrrQFM09">
      <int2:state int2:value="Rejected" int2:type="gram"/>
    </int2:bookmark>
    <int2:bookmark int2:bookmarkName="_Int_hthGV18h" int2:invalidationBookmarkName="" int2:hashCode="hBHoYUXYPWcz38" int2:id="XxLESeVl">
      <int2:state int2:value="Rejected" int2:type="gram"/>
    </int2:bookmark>
    <int2:bookmark int2:bookmarkName="_Int_xhFC2WB0" int2:invalidationBookmarkName="" int2:hashCode="pN+m9ipWsscExo" int2:id="aFDRsMgK">
      <int2:state int2:value="Rejected" int2:type="gram"/>
    </int2:bookmark>
    <int2:bookmark int2:bookmarkName="_Int_0oqWq2YV" int2:invalidationBookmarkName="" int2:hashCode="zYUV41ZP9y6IlS" int2:id="rJngFBsX">
      <int2:state int2:value="Rejected" int2:type="gram"/>
    </int2:bookmark>
    <int2:bookmark int2:bookmarkName="_Int_rn7u9SWm" int2:invalidationBookmarkName="" int2:hashCode="6IwIHnQlgMpQOi" int2:id="qsSUMzuW">
      <int2:state int2:value="Rejected" int2:type="gram"/>
    </int2:bookmark>
    <int2:bookmark int2:bookmarkName="_Int_ngplwmEy" int2:invalidationBookmarkName="" int2:hashCode="Wc0Yex0OoMoKg4" int2:id="dLyVDC0r">
      <int2:state int2:value="Rejected" int2:type="gram"/>
    </int2:bookmark>
    <int2:bookmark int2:bookmarkName="_Int_rBXkIqd8" int2:invalidationBookmarkName="" int2:hashCode="VrpN1YSzskMOBo" int2:id="OK1cNVrI">
      <int2:state int2:value="Rejected" int2:type="gram"/>
    </int2:bookmark>
    <int2:bookmark int2:bookmarkName="_Int_RFV2M9Lw" int2:invalidationBookmarkName="" int2:hashCode="1BkZQHzo94ts2J" int2:id="Mt0Ap6os">
      <int2:state int2:value="Rejected" int2:type="gram"/>
    </int2:bookmark>
    <int2:bookmark int2:bookmarkName="_Int_ZXqZJ6uS" int2:invalidationBookmarkName="" int2:hashCode="56Gh4N4enpyuJ7" int2:id="c1wnxmOf">
      <int2:state int2:value="Rejected" int2:type="gram"/>
    </int2:bookmark>
    <int2:bookmark int2:bookmarkName="_Int_BbxCeBSg" int2:invalidationBookmarkName="" int2:hashCode="cX9ivS6yMNKGNi" int2:id="vz9ueshu">
      <int2:state int2:value="Rejected" int2:type="gram"/>
    </int2:bookmark>
    <int2:bookmark int2:bookmarkName="_Int_juXELEJC" int2:invalidationBookmarkName="" int2:hashCode="72Bk30g/S1iK7T" int2:id="G8OXYL0L">
      <int2:state int2:value="Rejected" int2:type="gram"/>
    </int2:bookmark>
    <int2:bookmark int2:bookmarkName="_Int_WRFmLGle" int2:invalidationBookmarkName="" int2:hashCode="zYUV41ZP9y6IlS" int2:id="9ptuzHSN">
      <int2:state int2:value="Rejected" int2:type="gram"/>
    </int2:bookmark>
    <int2:bookmark int2:bookmarkName="_Int_GaGgt9IE" int2:invalidationBookmarkName="" int2:hashCode="ONEiFG6joFZNjv" int2:id="Fqa71kq7">
      <int2:state int2:value="Rejected" int2:type="gram"/>
    </int2:bookmark>
    <int2:bookmark int2:bookmarkName="_Int_zc7GO3Hn" int2:invalidationBookmarkName="" int2:hashCode="Rrp8l5Bsh7o4F+" int2:id="zw0B4jj2">
      <int2:state int2:value="Rejected" int2:type="gram"/>
    </int2:bookmark>
    <int2:bookmark int2:bookmarkName="_Int_trL0EL7T" int2:invalidationBookmarkName="" int2:hashCode="Wc0Yex0OoMoKg4" int2:id="4zJ2FCSu">
      <int2:state int2:value="Rejected" int2:type="gram"/>
    </int2:bookmark>
    <int2:bookmark int2:bookmarkName="_Int_TD150gbi" int2:invalidationBookmarkName="" int2:hashCode="deqRAxJLC9JmOk" int2:id="hNJj5IqJ">
      <int2:state int2:value="Rejected" int2:type="gram"/>
    </int2:bookmark>
    <int2:bookmark int2:bookmarkName="_Int_V0dgePyb" int2:invalidationBookmarkName="" int2:hashCode="iHgz9Y11xEacD9" int2:id="HXslDo38">
      <int2:state int2:value="Rejected" int2:type="gram"/>
    </int2:bookmark>
    <int2:bookmark int2:bookmarkName="_Int_t1I2pUJh" int2:invalidationBookmarkName="" int2:hashCode="jcJwjKQVPrn32q" int2:id="HiFOKtqr">
      <int2:state int2:value="Rejected" int2:type="gram"/>
    </int2:bookmark>
    <int2:bookmark int2:bookmarkName="_Int_CXGSZ4kt" int2:invalidationBookmarkName="" int2:hashCode="b26ZTZEBgUHHPn" int2:id="e3jfqsX3">
      <int2:state int2:value="Rejected" int2:type="gram"/>
    </int2:bookmark>
    <int2:bookmark int2:bookmarkName="_Int_SWsFKizB" int2:invalidationBookmarkName="" int2:hashCode="t4q7Wczzt7KX6P" int2:id="aPNnYm73">
      <int2:state int2:value="Rejected" int2:type="gram"/>
    </int2:bookmark>
    <int2:bookmark int2:bookmarkName="_Int_y1Ou27OP" int2:invalidationBookmarkName="" int2:hashCode="IkwodYP7H6UOff" int2:id="eBJS9XVb">
      <int2:state int2:value="Rejected" int2:type="gram"/>
    </int2:bookmark>
    <int2:bookmark int2:bookmarkName="_Int_GCmzxG5P" int2:invalidationBookmarkName="" int2:hashCode="bLQntr+nnavvSD" int2:id="j1yqfs8a">
      <int2:state int2:value="Rejected" int2:type="gram"/>
    </int2:bookmark>
    <int2:bookmark int2:bookmarkName="_Int_dSIw1LuV" int2:invalidationBookmarkName="" int2:hashCode="YkYptIFQNxPzaa" int2:id="fotD3HhV">
      <int2:state int2:value="Rejected" int2:type="gram"/>
    </int2:bookmark>
    <int2:bookmark int2:bookmarkName="_Int_Qd4oD66Q" int2:invalidationBookmarkName="" int2:hashCode="1BkZQHzo94ts2J" int2:id="vw6VpYrJ">
      <int2:state int2:value="Rejected" int2:type="gram"/>
    </int2:bookmark>
    <int2:bookmark int2:bookmarkName="_Int_RcXmjXBF" int2:invalidationBookmarkName="" int2:hashCode="8VIoUGcOWeZPWi" int2:id="KWFV8JMT">
      <int2:state int2:value="Rejected" int2:type="gram"/>
    </int2:bookmark>
    <int2:bookmark int2:bookmarkName="_Int_4PkhLjGf" int2:invalidationBookmarkName="" int2:hashCode="+44a3DdjmZZaUV" int2:id="MlJUzPRf">
      <int2:state int2:value="Rejected" int2:type="gram"/>
    </int2:bookmark>
    <int2:bookmark int2:bookmarkName="_Int_uKAmTOer" int2:invalidationBookmarkName="" int2:hashCode="5Cw5HsvQMNKoh1" int2:id="ZzB2KAqQ">
      <int2:state int2:value="Rejected" int2:type="gram"/>
    </int2:bookmark>
    <int2:bookmark int2:bookmarkName="_Int_w5CpnXA8" int2:invalidationBookmarkName="" int2:hashCode="1BkZQHzo94ts2J" int2:id="qjbEpsQD">
      <int2:state int2:value="Rejected" int2:type="gram"/>
    </int2:bookmark>
    <int2:bookmark int2:bookmarkName="_Int_COo9MV8n" int2:invalidationBookmarkName="" int2:hashCode="19GuqdV27TdcBg" int2:id="lm9wiJAO">
      <int2:state int2:value="Rejected" int2:type="gram"/>
    </int2:bookmark>
    <int2:bookmark int2:bookmarkName="_Int_hKxbUHfc" int2:invalidationBookmarkName="" int2:hashCode="tvcdDtZX0wGhE0" int2:id="Chr9olZA">
      <int2:state int2:value="Rejected" int2:type="gram"/>
    </int2:bookmark>
    <int2:bookmark int2:bookmarkName="_Int_MFvRQzsK" int2:invalidationBookmarkName="" int2:hashCode="qR/WMKgbGTWDY5" int2:id="3JWcmRTj">
      <int2:state int2:value="Rejected" int2:type="gram"/>
    </int2:bookmark>
    <int2:bookmark int2:bookmarkName="_Int_d9GYbq7p" int2:invalidationBookmarkName="" int2:hashCode="7vCZ8Yt0W0dxYh" int2:id="oHFNQmIV">
      <int2:state int2:value="Rejected" int2:type="gram"/>
    </int2:bookmark>
    <int2:bookmark int2:bookmarkName="_Int_3JWqLKRy" int2:invalidationBookmarkName="" int2:hashCode="uWAzX3WLiDwpNG" int2:id="RSioSU9o">
      <int2:state int2:value="Rejected" int2:type="gram"/>
    </int2:bookmark>
    <int2:bookmark int2:bookmarkName="_Int_73xYu91s" int2:invalidationBookmarkName="" int2:hashCode="1BkZQHzo94ts2J" int2:id="5K8A6Gdo">
      <int2:state int2:value="Rejected" int2:type="gram"/>
    </int2:bookmark>
    <int2:bookmark int2:bookmarkName="_Int_agJLDj8S" int2:invalidationBookmarkName="" int2:hashCode="vFw8vlD/bzhMvy" int2:id="WJSBIo6O">
      <int2:state int2:value="Rejected" int2:type="gram"/>
    </int2:bookmark>
    <int2:bookmark int2:bookmarkName="_Int_29r5my2t" int2:invalidationBookmarkName="" int2:hashCode="jcJwjKQVPrn32q" int2:id="K5wj2mWC">
      <int2:state int2:value="Rejected" int2:type="gram"/>
    </int2:bookmark>
    <int2:bookmark int2:bookmarkName="_Int_tB6im7NX" int2:invalidationBookmarkName="" int2:hashCode="CqjdN060hROpwD" int2:id="aIrpgPxo">
      <int2:state int2:value="Rejected" int2:type="gram"/>
    </int2:bookmark>
    <int2:bookmark int2:bookmarkName="_Int_MzFg5ckt" int2:invalidationBookmarkName="" int2:hashCode="ubnWGXI6oO/bGX" int2:id="oNNYqXf6">
      <int2:state int2:value="Rejected" int2:type="gram"/>
    </int2:bookmark>
    <int2:bookmark int2:bookmarkName="_Int_vymu8pNB" int2:invalidationBookmarkName="" int2:hashCode="7u845op0zPyD7R" int2:id="DVngp0Bl">
      <int2:state int2:value="Rejected" int2:type="gram"/>
    </int2:bookmark>
    <int2:bookmark int2:bookmarkName="_Int_MO7oT0nC" int2:invalidationBookmarkName="" int2:hashCode="63pOnOztjik3nn" int2:id="0YRVGIIe">
      <int2:state int2:value="Rejected" int2:type="gram"/>
    </int2:bookmark>
    <int2:bookmark int2:bookmarkName="_Int_j9hZduv8" int2:invalidationBookmarkName="" int2:hashCode="smRqox0yqvLc2T" int2:id="yww21PdN">
      <int2:state int2:value="Rejected" int2:type="gram"/>
    </int2:bookmark>
    <int2:bookmark int2:bookmarkName="_Int_pN8clHdk" int2:invalidationBookmarkName="" int2:hashCode="1BkZQHzo94ts2J" int2:id="is7FXnei">
      <int2:state int2:value="Rejected" int2:type="gram"/>
    </int2:bookmark>
    <int2:bookmark int2:bookmarkName="_Int_fiELYunY" int2:invalidationBookmarkName="" int2:hashCode="tJcBDj+h8bodeU" int2:id="81h7BGDr">
      <int2:state int2:value="Rejected" int2:type="gram"/>
    </int2:bookmark>
    <int2:bookmark int2:bookmarkName="_Int_HStSmMB8" int2:invalidationBookmarkName="" int2:hashCode="0w2HvQ1jH+fSCD" int2:id="VCytMg0E">
      <int2:state int2:value="Rejected" int2:type="gram"/>
    </int2:bookmark>
    <int2:bookmark int2:bookmarkName="_Int_2fmAH3jK" int2:invalidationBookmarkName="" int2:hashCode="gIlm1Ng8WAJUJR" int2:id="w8WPuDLV">
      <int2:state int2:value="Rejected" int2:type="gram"/>
    </int2:bookmark>
    <int2:bookmark int2:bookmarkName="_Int_gNdy6wUo" int2:invalidationBookmarkName="" int2:hashCode="fh0OAdqxfJ/URW" int2:id="0ipN6JIO">
      <int2:state int2:value="Rejected" int2:type="gram"/>
    </int2:bookmark>
    <int2:bookmark int2:bookmarkName="_Int_uiUAYRcH" int2:invalidationBookmarkName="" int2:hashCode="rUEvMrYDdRPTZF" int2:id="tzKdGAtB">
      <int2:state int2:value="Rejected" int2:type="gram"/>
    </int2:bookmark>
    <int2:bookmark int2:bookmarkName="_Int_sEqxwsa6" int2:invalidationBookmarkName="" int2:hashCode="RCFhQ7Y+OXfSXz" int2:id="4ow5Bqw3">
      <int2:state int2:value="Rejected" int2:type="gram"/>
    </int2:bookmark>
    <int2:bookmark int2:bookmarkName="_Int_T1YaGhfK" int2:invalidationBookmarkName="" int2:hashCode="pUYzlQFhYOrvHd" int2:id="jSrBLSnH">
      <int2:state int2:value="Rejected" int2:type="gram"/>
    </int2:bookmark>
    <int2:bookmark int2:bookmarkName="_Int_BC9NM2OI" int2:invalidationBookmarkName="" int2:hashCode="eAjVxZ/SaaxbqZ" int2:id="YrKCwMxf">
      <int2:state int2:value="Rejected" int2:type="gram"/>
    </int2:bookmark>
    <int2:bookmark int2:bookmarkName="_Int_NGx4pXxK" int2:invalidationBookmarkName="" int2:hashCode="C1wh8H8/zTK0nL" int2:id="H4oSFD27">
      <int2:state int2:value="Rejected" int2:type="gram"/>
    </int2:bookmark>
    <int2:bookmark int2:bookmarkName="_Int_21jdTysI" int2:invalidationBookmarkName="" int2:hashCode="Aons1rXOHwgixg" int2:id="5a69ovTW">
      <int2:state int2:value="Rejected" int2:type="gram"/>
    </int2:bookmark>
    <int2:bookmark int2:bookmarkName="_Int_DVibYal9" int2:invalidationBookmarkName="" int2:hashCode="fc1DRXF3yjQ0lr" int2:id="dsltjdAn">
      <int2:state int2:value="Rejected" int2:type="gram"/>
    </int2:bookmark>
    <int2:bookmark int2:bookmarkName="_Int_QDCj9Pjk" int2:invalidationBookmarkName="" int2:hashCode="MyuDrPpmKEc0Lg" int2:id="cfGPC025">
      <int2:state int2:value="Rejected" int2:type="gram"/>
    </int2:bookmark>
    <int2:bookmark int2:bookmarkName="_Int_uWGJg5ey" int2:invalidationBookmarkName="" int2:hashCode="VknxV4NXlE+2Lr" int2:id="NvyqDdAd">
      <int2:state int2:value="Rejected" int2:type="gram"/>
    </int2:bookmark>
    <int2:bookmark int2:bookmarkName="_Int_ELw2jEsY" int2:invalidationBookmarkName="" int2:hashCode="Tls2Zlq2DzySUF" int2:id="d7YH7WJK">
      <int2:state int2:value="Rejected" int2:type="gram"/>
    </int2:bookmark>
    <int2:bookmark int2:bookmarkName="_Int_8y4phBNc" int2:invalidationBookmarkName="" int2:hashCode="NFyCImbHPZYOfg" int2:id="8fW97dyf">
      <int2:state int2:value="Rejected" int2:type="gram"/>
    </int2:bookmark>
    <int2:bookmark int2:bookmarkName="_Int_kf2YbSJX" int2:invalidationBookmarkName="" int2:hashCode="WrvijSsjrBeqI7" int2:id="YnzRMEUx">
      <int2:state int2:value="Rejected" int2:type="gram"/>
    </int2:bookmark>
    <int2:bookmark int2:bookmarkName="_Int_TSr6gGYi" int2:invalidationBookmarkName="" int2:hashCode="nYkecx913q5WiE" int2:id="V201mR81">
      <int2:state int2:value="Rejected" int2:type="gram"/>
    </int2:bookmark>
    <int2:bookmark int2:bookmarkName="_Int_2yb31zoW" int2:invalidationBookmarkName="" int2:hashCode="EP+hGPttntTvVW" int2:id="9c1LYZOC">
      <int2:state int2:value="Rejected" int2:type="gram"/>
    </int2:bookmark>
    <int2:bookmark int2:bookmarkName="_Int_xRqd6ngA" int2:invalidationBookmarkName="" int2:hashCode="FFbgFcdGJZ1pqc" int2:id="adjEwGwC">
      <int2:state int2:value="Rejected" int2:type="gram"/>
    </int2:bookmark>
    <int2:bookmark int2:bookmarkName="_Int_RxRpBbqM" int2:invalidationBookmarkName="" int2:hashCode="TuxAhEnTGUVpMn" int2:id="ZhbiXgJ5">
      <int2:state int2:value="Rejected" int2:type="gram"/>
    </int2:bookmark>
    <int2:bookmark int2:bookmarkName="_Int_tp0wLDT5" int2:invalidationBookmarkName="" int2:hashCode="RKe1C1ueMK+J5B" int2:id="aNz5YMDB">
      <int2:state int2:value="Rejected" int2:type="gram"/>
    </int2:bookmark>
    <int2:bookmark int2:bookmarkName="_Int_Sz5tTdjb" int2:invalidationBookmarkName="" int2:hashCode="tw12eFw/wpyG9D" int2:id="9Itc073y">
      <int2:state int2:value="Rejected" int2:type="gram"/>
    </int2:bookmark>
    <int2:bookmark int2:bookmarkName="_Int_yHGmuuB4" int2:invalidationBookmarkName="" int2:hashCode="ThlMGpsMIRtDxq" int2:id="IOw6lURX">
      <int2:state int2:value="Rejected" int2:type="gram"/>
    </int2:bookmark>
    <int2:bookmark int2:bookmarkName="_Int_G2ArFYtj" int2:invalidationBookmarkName="" int2:hashCode="WNJQ/4EmtJB4Zo" int2:id="UI9MpV0g">
      <int2:state int2:value="Rejected" int2:type="gram"/>
    </int2:bookmark>
    <int2:bookmark int2:bookmarkName="_Int_njVRC0ft" int2:invalidationBookmarkName="" int2:hashCode="1BkZQHzo94ts2J" int2:id="ZR9YzZ8l">
      <int2:state int2:value="Rejected" int2:type="gram"/>
    </int2:bookmark>
    <int2:bookmark int2:bookmarkName="_Int_kUoPYwCw" int2:invalidationBookmarkName="" int2:hashCode="X7D1xPM4sJvWj3" int2:id="CgiSoNz0">
      <int2:state int2:value="Rejected" int2:type="gram"/>
    </int2:bookmark>
    <int2:bookmark int2:bookmarkName="_Int_lGBYYGW6" int2:invalidationBookmarkName="" int2:hashCode="SAh/Tfq7G3lPUq" int2:id="SUl8Hcgo">
      <int2:state int2:value="Rejected" int2:type="gram"/>
    </int2:bookmark>
    <int2:bookmark int2:bookmarkName="_Int_oxoD4US3" int2:invalidationBookmarkName="" int2:hashCode="8n7MoD+tqsJQI0" int2:id="G5JnmNJA">
      <int2:state int2:value="Rejected" int2:type="gram"/>
    </int2:bookmark>
    <int2:bookmark int2:bookmarkName="_Int_Mxs4Kssj" int2:invalidationBookmarkName="" int2:hashCode="1BkZQHzo94ts2J" int2:id="os4fX8Bp">
      <int2:state int2:value="Rejected" int2:type="gram"/>
    </int2:bookmark>
    <int2:bookmark int2:bookmarkName="_Int_sk3HVUKb" int2:invalidationBookmarkName="" int2:hashCode="2gdm0NY95fOsyK" int2:id="6pu1gVhO">
      <int2:state int2:value="Rejected" int2:type="gram"/>
    </int2:bookmark>
    <int2:bookmark int2:bookmarkName="_Int_fAUTASPO" int2:invalidationBookmarkName="" int2:hashCode="jWABM0t1Lui4RX" int2:id="VFMlrlfH">
      <int2:state int2:value="Rejected" int2:type="gram"/>
    </int2:bookmark>
    <int2:bookmark int2:bookmarkName="_Int_3CUoGDZ9" int2:invalidationBookmarkName="" int2:hashCode="bMmx/e+Zene+iX" int2:id="6n44NFh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0D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37C8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CE4D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736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5A14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3117762">
    <w:abstractNumId w:val="1"/>
  </w:num>
  <w:num w:numId="2" w16cid:durableId="1954437542">
    <w:abstractNumId w:val="4"/>
  </w:num>
  <w:num w:numId="3" w16cid:durableId="564998019">
    <w:abstractNumId w:val="0"/>
  </w:num>
  <w:num w:numId="4" w16cid:durableId="1023434445">
    <w:abstractNumId w:val="3"/>
  </w:num>
  <w:num w:numId="5" w16cid:durableId="66466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93A"/>
    <w:rsid w:val="0018393A"/>
    <w:rsid w:val="002D4F73"/>
    <w:rsid w:val="003C2760"/>
    <w:rsid w:val="00746C39"/>
    <w:rsid w:val="009C5ABA"/>
    <w:rsid w:val="009D1E24"/>
    <w:rsid w:val="00BC1824"/>
    <w:rsid w:val="00C1240C"/>
    <w:rsid w:val="00D157C9"/>
    <w:rsid w:val="00D46A8A"/>
    <w:rsid w:val="00D55833"/>
    <w:rsid w:val="00E25D1C"/>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509B5"/>
  <w15:docId w15:val="{0EEE6F2E-0786-2A41-BEBB-129CB4C2F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zh-TW"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D157C9"/>
    <w:pPr>
      <w:spacing w:before="100" w:beforeAutospacing="1" w:after="100" w:afterAutospacing="1" w:line="240" w:lineRule="auto"/>
    </w:pPr>
    <w:rPr>
      <w:rFonts w:ascii="Times New Roman" w:eastAsiaTheme="minorEastAsia" w:hAnsi="Times New Roman" w:cs="Times New Roman"/>
      <w:sz w:val="24"/>
      <w:szCs w:val="24"/>
      <w:lang w:val="en-HK"/>
    </w:rPr>
  </w:style>
  <w:style w:type="character" w:styleId="Strong">
    <w:name w:val="Strong"/>
    <w:basedOn w:val="DefaultParagraphFont"/>
    <w:uiPriority w:val="22"/>
    <w:qFormat/>
    <w:rsid w:val="00D157C9"/>
    <w:rPr>
      <w:b/>
      <w:bCs/>
    </w:rPr>
  </w:style>
  <w:style w:type="character" w:customStyle="1" w:styleId="Heading3Char">
    <w:name w:val="Heading 3 Char"/>
    <w:basedOn w:val="DefaultParagraphFont"/>
    <w:link w:val="Heading3"/>
    <w:uiPriority w:val="9"/>
    <w:rsid w:val="00D157C9"/>
    <w:rPr>
      <w:color w:val="434343"/>
      <w:sz w:val="28"/>
      <w:szCs w:val="28"/>
    </w:rPr>
  </w:style>
  <w:style w:type="character" w:customStyle="1" w:styleId="Heading4Char">
    <w:name w:val="Heading 4 Char"/>
    <w:basedOn w:val="DefaultParagraphFont"/>
    <w:link w:val="Heading4"/>
    <w:uiPriority w:val="9"/>
    <w:rsid w:val="00D157C9"/>
    <w:rPr>
      <w:color w:val="666666"/>
      <w:sz w:val="24"/>
      <w:szCs w:val="24"/>
    </w:rPr>
  </w:style>
  <w:style w:type="character" w:styleId="Hyperlink">
    <w:name w:val="Hyperlink"/>
    <w:basedOn w:val="DefaultParagraphFont"/>
    <w:uiPriority w:val="99"/>
    <w:semiHidden/>
    <w:unhideWhenUsed/>
    <w:rsid w:val="00746C3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vestorrelations@temasek.com.sg" TargetMode="External"/><Relationship Id="rId13" Type="http://schemas.openxmlformats.org/officeDocument/2006/relationships/hyperlink" Target="mailto:asia@rothschildandco.com" TargetMode="External"/><Relationship Id="rId18" Type="http://schemas.openxmlformats.org/officeDocument/2006/relationships/hyperlink" Target="mailto:privateasia@db.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horizons@likashingfoundation.org%20" TargetMode="External"/><Relationship Id="rId12" Type="http://schemas.openxmlformats.org/officeDocument/2006/relationships/hyperlink" Target="mailto:asia@juliusbaer.com" TargetMode="External"/><Relationship Id="rId17" Type="http://schemas.openxmlformats.org/officeDocument/2006/relationships/hyperlink" Target="mailto:asiawealth@morganstanley.com" TargetMode="External"/><Relationship Id="rId2" Type="http://schemas.openxmlformats.org/officeDocument/2006/relationships/styles" Target="styles.xml"/><Relationship Id="rId16" Type="http://schemas.openxmlformats.org/officeDocument/2006/relationships/hyperlink" Target="mailto:privatebanking@sc.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wealthasia@ubs.com" TargetMode="External"/><Relationship Id="rId5" Type="http://schemas.openxmlformats.org/officeDocument/2006/relationships/footnotes" Target="footnotes.xml"/><Relationship Id="rId15" Type="http://schemas.openxmlformats.org/officeDocument/2006/relationships/hyperlink" Target="mailto:apac@allianzgi.com" TargetMode="External"/><Relationship Id="rId23" Type="http://schemas.microsoft.com/office/2020/10/relationships/intelligence" Target="intelligence2.xml"/><Relationship Id="rId10" Type="http://schemas.openxmlformats.org/officeDocument/2006/relationships/hyperlink" Target="mailto:apac@blackrock.com"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fungfamily@liandfung.com" TargetMode="External"/><Relationship Id="rId14" Type="http://schemas.openxmlformats.org/officeDocument/2006/relationships/hyperlink" Target="mailto:asia@picte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1765</Words>
  <Characters>10066</Characters>
  <Application>Microsoft Office Word</Application>
  <DocSecurity>0</DocSecurity>
  <Lines>83</Lines>
  <Paragraphs>23</Paragraphs>
  <ScaleCrop>false</ScaleCrop>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 Cheuk Him</cp:lastModifiedBy>
  <cp:revision>6</cp:revision>
  <dcterms:created xsi:type="dcterms:W3CDTF">2026-01-24T15:35:00Z</dcterms:created>
  <dcterms:modified xsi:type="dcterms:W3CDTF">2026-01-24T15:52:00Z</dcterms:modified>
</cp:coreProperties>
</file>