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19278" w14:textId="77777777" w:rsidR="00087C1D" w:rsidRDefault="00000000">
      <w:pPr>
        <w:spacing w:before="240" w:after="240"/>
        <w:jc w:val="center"/>
        <w:rPr>
          <w:b/>
          <w:bCs/>
          <w:sz w:val="30"/>
          <w:szCs w:val="30"/>
        </w:rPr>
      </w:pPr>
      <w:r>
        <w:rPr>
          <w:b/>
          <w:bCs/>
          <w:sz w:val="30"/>
          <w:szCs w:val="30"/>
        </w:rPr>
        <w:t>Week 4: Brokering and Private Debt Opportunities</w:t>
      </w:r>
    </w:p>
    <w:p w14:paraId="7EECCFEB" w14:textId="77777777" w:rsidR="00087C1D" w:rsidRDefault="00000438">
      <w:pPr>
        <w:spacing w:before="240" w:after="240"/>
        <w:jc w:val="right"/>
        <w:rPr>
          <w:b/>
          <w:bCs/>
        </w:rPr>
      </w:pPr>
      <w:bookmarkStart w:id="0" w:name="_nhdqzud1xyje" w:colFirst="0" w:colLast="0"/>
      <w:bookmarkEnd w:id="0"/>
      <w:r>
        <w:rPr>
          <w:noProof/>
        </w:rPr>
      </w:r>
      <w:r w:rsidR="00000438">
        <w:rPr>
          <w:noProof/>
        </w:rPr>
        <w:pict w14:anchorId="64A19158">
          <v:rect id="_x0000_i1025" style="width:0;height:1.5pt" o:hralign="center" o:hrstd="t" o:hr="t" fillcolor="#a0a0a0" stroked="f"/>
        </w:pict>
      </w:r>
      <w:r w:rsidR="00000000">
        <w:rPr>
          <w:rFonts w:ascii="Courier New" w:eastAsia="Courier New" w:hAnsi="Courier New" w:cs="Courier New"/>
          <w:sz w:val="18"/>
          <w:szCs w:val="18"/>
        </w:rPr>
        <w:t xml:space="preserve">CHAN CHEUK HIM (Oscar)   </w:t>
      </w:r>
    </w:p>
    <w:p w14:paraId="5DF171C4" w14:textId="77777777" w:rsidR="00087C1D" w:rsidRDefault="00000000">
      <w:pPr>
        <w:spacing w:before="240" w:after="240"/>
        <w:rPr>
          <w:b/>
          <w:bCs/>
          <w:color w:val="000000"/>
          <w:sz w:val="26"/>
          <w:szCs w:val="26"/>
        </w:rPr>
      </w:pPr>
      <w:r>
        <w:rPr>
          <w:b/>
          <w:bCs/>
          <w:color w:val="000000"/>
          <w:sz w:val="26"/>
          <w:szCs w:val="26"/>
        </w:rPr>
        <w:t>Task 1: Private Debt Market Analysis</w:t>
      </w:r>
    </w:p>
    <w:p w14:paraId="12A64EBD" w14:textId="77777777" w:rsidR="00087C1D" w:rsidRDefault="00000000">
      <w:pPr>
        <w:spacing w:before="240" w:after="240"/>
        <w:rPr>
          <w:sz w:val="20"/>
          <w:szCs w:val="20"/>
        </w:rPr>
      </w:pPr>
      <w:r>
        <w:rPr>
          <w:sz w:val="20"/>
          <w:szCs w:val="20"/>
        </w:rPr>
        <w:t>The private debt market, encompassing direct lending, mezzanine financing, and distressed debt, has matured into a $2 trillion global asset class by 2026, per Preqin data. In Asia, particularly Hong Kong and Singapore, it offers resilient opportunities amid bank retreat from riskier lending, with AUM projected to grow 15-20% annually driven by mid-market demand and infrastructure needs. Major players include Ares Management, BlackRock, and local firms like PAG. Opportunities lie in asset-based finance, real estate refinancing, and ESG-linked debt. Potential clients for AxTrade include family offices and institutions seeking yields of 8-12% in a low-rate environment. This report summarizes trends, players, opportunities, and 10 targeted clients, leveraging 2026 data from sources like Wellington Management, Partners Group, and ICG.</w:t>
      </w:r>
    </w:p>
    <w:p w14:paraId="112756AB" w14:textId="77777777" w:rsidR="00087C1D" w:rsidRDefault="00000000">
      <w:pPr>
        <w:pStyle w:val="Heading5"/>
        <w:keepNext w:val="0"/>
        <w:keepLines w:val="0"/>
        <w:spacing w:before="220" w:after="40"/>
        <w:rPr>
          <w:b/>
          <w:bCs/>
          <w:color w:val="000000"/>
        </w:rPr>
      </w:pPr>
      <w:bookmarkStart w:id="1" w:name="_fi53iyrri95e" w:colFirst="0" w:colLast="0"/>
      <w:bookmarkEnd w:id="1"/>
      <w:r>
        <w:rPr>
          <w:b/>
          <w:bCs/>
          <w:color w:val="000000"/>
        </w:rPr>
        <w:t>Trends in the Private Debt Market</w:t>
      </w:r>
    </w:p>
    <w:p w14:paraId="2D34A5D4" w14:textId="77777777" w:rsidR="00087C1D" w:rsidRDefault="00000000">
      <w:pPr>
        <w:pStyle w:val="Heading5"/>
        <w:keepNext w:val="0"/>
        <w:keepLines w:val="0"/>
        <w:numPr>
          <w:ilvl w:val="0"/>
          <w:numId w:val="3"/>
        </w:numPr>
        <w:spacing w:before="220" w:after="0"/>
      </w:pPr>
      <w:bookmarkStart w:id="2" w:name="_tjf8ise4nnbl" w:colFirst="0" w:colLast="0"/>
      <w:bookmarkEnd w:id="2"/>
      <w:r>
        <w:rPr>
          <w:b/>
          <w:bCs/>
        </w:rPr>
        <w:t>Global Resilience Amid Moderation:</w:t>
      </w:r>
      <w:r>
        <w:t xml:space="preserve"> Private credit returns are moderating (8-10% targeted) as base rates decline, but resilience persists due to strong borrower balance sheets and fiscal support. ICG forecasts sustained growth in 2026, with episodes of volatility boosting asset-based financing. In Asia-Pacific, fundraising outperformed 2025, reaching $20-25B, per Herbert Smith Freehills, driven by Q4 closes like $5.6B funds.</w:t>
      </w:r>
      <w:r>
        <w:br/>
      </w:r>
    </w:p>
    <w:p w14:paraId="57CA8956" w14:textId="77777777" w:rsidR="00087C1D" w:rsidRDefault="00000000">
      <w:pPr>
        <w:pStyle w:val="Heading5"/>
        <w:keepNext w:val="0"/>
        <w:keepLines w:val="0"/>
        <w:numPr>
          <w:ilvl w:val="0"/>
          <w:numId w:val="3"/>
        </w:numPr>
        <w:spacing w:before="0" w:after="0"/>
      </w:pPr>
      <w:bookmarkStart w:id="3" w:name="_fvrwmkqio0i5" w:colFirst="0" w:colLast="0"/>
      <w:bookmarkEnd w:id="3"/>
      <w:r>
        <w:rPr>
          <w:b/>
          <w:bCs/>
        </w:rPr>
        <w:t>Regional Dynamics in Asia/HK:</w:t>
      </w:r>
      <w:r>
        <w:t xml:space="preserve"> Asia’s market lags the US/Europe but shows explosive potential, with private credit penetration at 10-15% vs. 50% in the US. Singapore emerges as a hub, per Fuse Capital, with mid-market and structured deals surging. HK benefits from tourism recovery and real estate refinancing, but faces caution due to property sector woes (e.g., New World Development issues, per Morningstar Asia). Southeast Asia (Vietnam, Indonesia) sees rising sponsor-backed activity, while China grapples with structural challenges but offers select winners in EV/AI.</w:t>
      </w:r>
      <w:r>
        <w:br/>
      </w:r>
    </w:p>
    <w:p w14:paraId="1003817C" w14:textId="77777777" w:rsidR="00087C1D" w:rsidRDefault="00000000">
      <w:pPr>
        <w:pStyle w:val="Heading5"/>
        <w:keepNext w:val="0"/>
        <w:keepLines w:val="0"/>
        <w:numPr>
          <w:ilvl w:val="0"/>
          <w:numId w:val="3"/>
        </w:numPr>
        <w:spacing w:before="0" w:after="0"/>
      </w:pPr>
      <w:bookmarkStart w:id="4" w:name="_1v4soibu5cg1" w:colFirst="0" w:colLast="0"/>
      <w:bookmarkEnd w:id="4"/>
      <w:r>
        <w:rPr>
          <w:b/>
          <w:bCs/>
        </w:rPr>
        <w:t>Sector-Specific Shifts:</w:t>
      </w:r>
      <w:r>
        <w:t xml:space="preserve"> Convergence of public/private markets expands opportunities in high-grade corporate credit and infrastructure. Wellington highlights asset-based finance (e.g., receivables lending) as a 2026 hotspot, yielding 10-12%. ESG and AI tailwinds support tech exporters (Taiwan, Korea), per J.P. Morgan. Refinancing waves (e.g., $1T maturities) overtake supply, creating demand for flexible debt.</w:t>
      </w:r>
      <w:r>
        <w:br/>
      </w:r>
    </w:p>
    <w:p w14:paraId="718B3255" w14:textId="77777777" w:rsidR="00087C1D" w:rsidRDefault="00000000">
      <w:pPr>
        <w:pStyle w:val="Heading5"/>
        <w:keepNext w:val="0"/>
        <w:keepLines w:val="0"/>
        <w:numPr>
          <w:ilvl w:val="0"/>
          <w:numId w:val="3"/>
        </w:numPr>
        <w:spacing w:before="0" w:after="40"/>
      </w:pPr>
      <w:bookmarkStart w:id="5" w:name="_ek9x0ektipsu" w:colFirst="0" w:colLast="0"/>
      <w:bookmarkEnd w:id="5"/>
      <w:r>
        <w:rPr>
          <w:b/>
          <w:bCs/>
        </w:rPr>
        <w:t>Challenges and Risks:</w:t>
      </w:r>
      <w:r>
        <w:t xml:space="preserve"> Manager dispersion widens, with top performers delivering 2-3% alpha, per Coller Capital. Regulatory scrutiny (e.g., MiCA parallels for debt) and geopolitical uncertainty pressure yields. In HK, bank concentration limits options, but private debt fills gaps with lower defaults (1-2% vs. 5% in 2022).</w:t>
      </w:r>
      <w:r>
        <w:br/>
      </w:r>
      <w:r>
        <w:br w:type="page"/>
      </w:r>
    </w:p>
    <w:p w14:paraId="0416E13E" w14:textId="77777777" w:rsidR="00087C1D" w:rsidRDefault="00087C1D">
      <w:pPr>
        <w:pStyle w:val="Heading5"/>
        <w:keepNext w:val="0"/>
        <w:keepLines w:val="0"/>
        <w:spacing w:before="220" w:after="40"/>
      </w:pPr>
      <w:bookmarkStart w:id="6" w:name="_itqabnwkkb9j" w:colFirst="0" w:colLast="0"/>
      <w:bookmarkEnd w:id="6"/>
    </w:p>
    <w:tbl>
      <w:tblPr>
        <w:tblStyle w:val="a"/>
        <w:tblW w:w="902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4"/>
        <w:gridCol w:w="1725"/>
        <w:gridCol w:w="1965"/>
        <w:gridCol w:w="3045"/>
      </w:tblGrid>
      <w:tr w:rsidR="00087C1D" w14:paraId="5501C41D"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CBAC76" w14:textId="77777777" w:rsidR="00087C1D" w:rsidRDefault="00000000">
            <w:pPr>
              <w:pStyle w:val="Heading5"/>
              <w:keepNext w:val="0"/>
              <w:keepLines w:val="0"/>
              <w:spacing w:before="220" w:after="40"/>
              <w:jc w:val="center"/>
            </w:pPr>
            <w:bookmarkStart w:id="7" w:name="_lee6bcwyrndq" w:colFirst="0" w:colLast="0"/>
            <w:bookmarkEnd w:id="7"/>
            <w:r>
              <w:rPr>
                <w:b/>
                <w:bCs/>
                <w:color w:val="000000"/>
                <w:sz w:val="24"/>
                <w:szCs w:val="24"/>
              </w:rPr>
              <w:t>Major Players</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A419C3" w14:textId="77777777" w:rsidR="00087C1D" w:rsidRDefault="00000000">
            <w:pPr>
              <w:jc w:val="center"/>
            </w:pPr>
            <w:r>
              <w:rPr>
                <w:b/>
                <w:bCs/>
              </w:rPr>
              <w:t>AUM (2026 Est.)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7D2116" w14:textId="77777777" w:rsidR="00087C1D" w:rsidRDefault="00000000">
            <w:pPr>
              <w:jc w:val="center"/>
            </w:pPr>
            <w:r>
              <w:rPr>
                <w:b/>
                <w:bCs/>
              </w:rPr>
              <w:t>Regional Focus</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6B1B44" w14:textId="77777777" w:rsidR="00087C1D" w:rsidRDefault="00000000">
            <w:pPr>
              <w:jc w:val="center"/>
            </w:pPr>
            <w:r>
              <w:rPr>
                <w:b/>
                <w:bCs/>
              </w:rPr>
              <w:t>Key Strategies/Insights</w:t>
            </w:r>
          </w:p>
        </w:tc>
      </w:tr>
      <w:tr w:rsidR="00087C1D" w14:paraId="310FAF73"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CD6028" w14:textId="77777777" w:rsidR="00087C1D" w:rsidRDefault="00000000">
            <w:r>
              <w:t>Ares Management</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EEAD48" w14:textId="77777777" w:rsidR="00087C1D" w:rsidRDefault="00000000">
            <w:r>
              <w:t>$450B+ global</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7A7954" w14:textId="77777777" w:rsidR="00087C1D" w:rsidRDefault="00000000">
            <w:r>
              <w:t>Asia-Pacific (10% allocation)</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8D3AA5" w14:textId="77777777" w:rsidR="00087C1D" w:rsidRDefault="00000000">
            <w:r>
              <w:t>Mid-market direct lending, asset-based finance. Expanding in Australia/Singapore for scaled businesses, per Ares outlook.</w:t>
            </w:r>
          </w:p>
        </w:tc>
      </w:tr>
      <w:tr w:rsidR="00087C1D" w14:paraId="380F0618"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CA8AA5" w14:textId="77777777" w:rsidR="00087C1D" w:rsidRDefault="00000000">
            <w:r>
              <w:t>BlackRock</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35BACE" w14:textId="77777777" w:rsidR="00087C1D" w:rsidRDefault="00000000">
            <w:r>
              <w:t>$10T+ global</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4C22AA" w14:textId="77777777" w:rsidR="00087C1D" w:rsidRDefault="00000000">
            <w:r>
              <w:t>Asia (HK/Singapore hubs)</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DAA595" w14:textId="77777777" w:rsidR="00087C1D" w:rsidRDefault="00000000">
            <w:r>
              <w:t>Private credit via secondaries, infrastructure debt. Emphasizes liquidity evolution, $1B+ in tokenized pilots.</w:t>
            </w:r>
          </w:p>
        </w:tc>
      </w:tr>
      <w:tr w:rsidR="00087C1D" w14:paraId="7E0AFBA8"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698CB4" w14:textId="77777777" w:rsidR="00087C1D" w:rsidRDefault="00000000">
            <w:r>
              <w:t>Partners 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47A1E4" w14:textId="77777777" w:rsidR="00087C1D" w:rsidRDefault="00000000">
            <w:r>
              <w:t>$150B+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1A9321" w14:textId="77777777" w:rsidR="00087C1D" w:rsidRDefault="00000000">
            <w:r>
              <w:t>Asia-Pacific (Australia, Singapore)</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8B10A8" w14:textId="77777777" w:rsidR="00087C1D" w:rsidRDefault="00000000">
            <w:r>
              <w:t>Control investments, power/energy infrastructure. Sees Europe/Asia selectivity for value beyond subsidies.</w:t>
            </w:r>
          </w:p>
        </w:tc>
      </w:tr>
      <w:tr w:rsidR="00087C1D" w14:paraId="0D3148B9"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655B30" w14:textId="77777777" w:rsidR="00087C1D" w:rsidRDefault="00000000">
            <w:r>
              <w:t>Wellington Management</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67FD5A" w14:textId="77777777" w:rsidR="00087C1D" w:rsidRDefault="00000000">
            <w:r>
              <w:t>$1.2T+</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56F5963" w14:textId="77777777" w:rsidR="00087C1D" w:rsidRDefault="00000000">
            <w:r>
              <w:t>Global with Asia emphasis</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4EFD3" w14:textId="77777777" w:rsidR="00087C1D" w:rsidRDefault="00000000">
            <w:r>
              <w:t>Asset-based and CRE debt. Predicts profound increase in opportunities amid volatility.</w:t>
            </w:r>
          </w:p>
        </w:tc>
      </w:tr>
      <w:tr w:rsidR="00087C1D" w14:paraId="1E4E94FD"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BF973B" w14:textId="77777777" w:rsidR="00087C1D" w:rsidRDefault="00000000">
            <w:r>
              <w:t>ICG (Intermediate Capital 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198AD9" w14:textId="77777777" w:rsidR="00087C1D" w:rsidRDefault="00000000">
            <w:r>
              <w:t>$100B+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F08D8F" w14:textId="77777777" w:rsidR="00087C1D" w:rsidRDefault="00000000">
            <w:r>
              <w:t>Pan-Asia</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7381FD" w14:textId="77777777" w:rsidR="00087C1D" w:rsidRDefault="00000000">
            <w:r>
              <w:t>Sponsor-backed, mid-market. Expects economic resilience supporting private companies.</w:t>
            </w:r>
          </w:p>
        </w:tc>
      </w:tr>
      <w:tr w:rsidR="00087C1D" w14:paraId="45FCBE72"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B66BBA" w14:textId="77777777" w:rsidR="00087C1D" w:rsidRDefault="00000000">
            <w:r>
              <w:t>PAG (Pacific Alliance 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4F92CA" w14:textId="77777777" w:rsidR="00087C1D" w:rsidRDefault="00000000">
            <w:r>
              <w:t>$50B+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BF2F84" w14:textId="77777777" w:rsidR="00087C1D" w:rsidRDefault="00000000">
            <w:r>
              <w:t>HK/Asia</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88EB683" w14:textId="77777777" w:rsidR="00087C1D" w:rsidRDefault="00000000">
            <w:r>
              <w:t>Real estate debt, distressed. Leading in HK refinancing amid bank retreat.</w:t>
            </w:r>
          </w:p>
        </w:tc>
      </w:tr>
      <w:tr w:rsidR="00087C1D" w14:paraId="14FBE3A0"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22E2C0" w14:textId="77777777" w:rsidR="00087C1D" w:rsidRDefault="00000000">
            <w:r>
              <w:t>CBC Group</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61903B" w14:textId="77777777" w:rsidR="00087C1D" w:rsidRDefault="00000000">
            <w:r>
              <w:t>$20B+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E6EEEB" w14:textId="77777777" w:rsidR="00087C1D" w:rsidRDefault="00000000">
            <w:r>
              <w:t>China/HK healthcare</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686BC9" w14:textId="77777777" w:rsidR="00087C1D" w:rsidRDefault="00000000">
            <w:r>
              <w:t>RMB-denominated debt funds, targeting EV/batteries.</w:t>
            </w:r>
          </w:p>
        </w:tc>
      </w:tr>
      <w:tr w:rsidR="00087C1D" w14:paraId="374763FD"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58304B" w14:textId="77777777" w:rsidR="00087C1D" w:rsidRDefault="00000000">
            <w:r>
              <w:t>Hillhouse Investment</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416571" w14:textId="77777777" w:rsidR="00087C1D" w:rsidRDefault="00000000">
            <w:r>
              <w:t>$60B+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D82BB" w14:textId="77777777" w:rsidR="00087C1D" w:rsidRDefault="00000000">
            <w:r>
              <w:t>Singapore/HK</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ED223E" w14:textId="77777777" w:rsidR="00087C1D" w:rsidRDefault="00000000">
            <w:r>
              <w:t>Tech/AI-focused credit, $7B flagship raise.</w:t>
            </w:r>
          </w:p>
        </w:tc>
      </w:tr>
      <w:tr w:rsidR="00087C1D" w14:paraId="7EF23E08"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D3B4FB" w14:textId="77777777" w:rsidR="00087C1D" w:rsidRDefault="00000000">
            <w:r>
              <w:t>Warburg Pincus</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D2D360" w14:textId="77777777" w:rsidR="00087C1D" w:rsidRDefault="00000000">
            <w:r>
              <w:t>$80B+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04140B" w14:textId="77777777" w:rsidR="00087C1D" w:rsidRDefault="00000000">
            <w:r>
              <w:t>Asia (China reset)</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81C1BD" w14:textId="77777777" w:rsidR="00087C1D" w:rsidRDefault="00000000">
            <w:r>
              <w:t>Corporate lending at 5-6x EBITDA valuations.</w:t>
            </w:r>
          </w:p>
        </w:tc>
      </w:tr>
      <w:tr w:rsidR="00087C1D" w14:paraId="04D25407" w14:textId="77777777">
        <w:tc>
          <w:tcPr>
            <w:tcW w:w="229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E42B8F6" w14:textId="77777777" w:rsidR="00087C1D" w:rsidRDefault="00000000">
            <w:r>
              <w:t>Muzinich &amp; Co.</w:t>
            </w:r>
          </w:p>
        </w:tc>
        <w:tc>
          <w:tcPr>
            <w:tcW w:w="17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0BE792D" w14:textId="77777777" w:rsidR="00087C1D" w:rsidRDefault="00000000">
            <w:r>
              <w:t>$40B+</w:t>
            </w:r>
          </w:p>
        </w:tc>
        <w:tc>
          <w:tcPr>
            <w:tcW w:w="19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3B9BF3" w14:textId="77777777" w:rsidR="00087C1D" w:rsidRDefault="00000000">
            <w:r>
              <w:t>Pan-Europe/Asia</w:t>
            </w:r>
          </w:p>
        </w:tc>
        <w:tc>
          <w:tcPr>
            <w:tcW w:w="304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DA82A2" w14:textId="77777777" w:rsidR="00087C1D" w:rsidRDefault="00000000">
            <w:r>
              <w:t>Underserved mid-market, fragmented opportunities.</w:t>
            </w:r>
          </w:p>
        </w:tc>
      </w:tr>
    </w:tbl>
    <w:p w14:paraId="13EE357C" w14:textId="77777777" w:rsidR="00087C1D" w:rsidRDefault="00000000">
      <w:pPr>
        <w:spacing w:before="240" w:after="240"/>
      </w:pPr>
      <w:r>
        <w:t>These players dominate 70% of Asia’s market, per Fuse Capital, with locals like PAG gaining share in HK.</w:t>
      </w:r>
    </w:p>
    <w:p w14:paraId="34869E94" w14:textId="77777777" w:rsidR="00087C1D" w:rsidRDefault="00000000">
      <w:pPr>
        <w:pStyle w:val="Heading5"/>
        <w:keepNext w:val="0"/>
        <w:keepLines w:val="0"/>
        <w:spacing w:before="220" w:after="40"/>
        <w:rPr>
          <w:b/>
          <w:bCs/>
          <w:color w:val="000000"/>
          <w:sz w:val="24"/>
          <w:szCs w:val="24"/>
        </w:rPr>
      </w:pPr>
      <w:bookmarkStart w:id="8" w:name="_u5rdd3sbh0i" w:colFirst="0" w:colLast="0"/>
      <w:bookmarkEnd w:id="8"/>
      <w:r>
        <w:rPr>
          <w:b/>
          <w:bCs/>
          <w:color w:val="000000"/>
          <w:sz w:val="24"/>
          <w:szCs w:val="24"/>
        </w:rPr>
        <w:lastRenderedPageBreak/>
        <w:t>Potential Opportunities for AxTrade</w:t>
      </w:r>
    </w:p>
    <w:p w14:paraId="2B7E6703" w14:textId="77777777" w:rsidR="00087C1D" w:rsidRDefault="00000000">
      <w:pPr>
        <w:pStyle w:val="Heading5"/>
        <w:keepNext w:val="0"/>
        <w:keepLines w:val="0"/>
        <w:numPr>
          <w:ilvl w:val="0"/>
          <w:numId w:val="2"/>
        </w:numPr>
        <w:spacing w:before="220" w:after="0"/>
      </w:pPr>
      <w:bookmarkStart w:id="9" w:name="_2vf72fxt8ro1" w:colFirst="0" w:colLast="0"/>
      <w:bookmarkEnd w:id="9"/>
      <w:r>
        <w:rPr>
          <w:b/>
          <w:bCs/>
        </w:rPr>
        <w:t>Refinancing and Mid-Market Gaps:</w:t>
      </w:r>
      <w:r>
        <w:t xml:space="preserve"> $1T global maturities create demand in HK real estate/hotels (tourism up 20% post-COVID, per ULI Asia). AxTrade can broker asset-based loans yielding 10%.</w:t>
      </w:r>
      <w:r>
        <w:br/>
      </w:r>
    </w:p>
    <w:p w14:paraId="2B42B05D" w14:textId="77777777" w:rsidR="00087C1D" w:rsidRDefault="00000000">
      <w:pPr>
        <w:pStyle w:val="Heading5"/>
        <w:keepNext w:val="0"/>
        <w:keepLines w:val="0"/>
        <w:numPr>
          <w:ilvl w:val="0"/>
          <w:numId w:val="2"/>
        </w:numPr>
        <w:spacing w:before="0" w:after="0"/>
      </w:pPr>
      <w:bookmarkStart w:id="10" w:name="_fabga1t92yc2" w:colFirst="0" w:colLast="0"/>
      <w:bookmarkEnd w:id="10"/>
      <w:r>
        <w:rPr>
          <w:b/>
          <w:bCs/>
        </w:rPr>
        <w:t>ESG and Infrastructure:</w:t>
      </w:r>
      <w:r>
        <w:t xml:space="preserve"> Asia’s $1T annual infra needs (per ADB) offer green debt opportunities, aligning with MiCA-like regs.</w:t>
      </w:r>
      <w:r>
        <w:br/>
      </w:r>
    </w:p>
    <w:p w14:paraId="3874A432" w14:textId="77777777" w:rsidR="00087C1D" w:rsidRDefault="00000000">
      <w:pPr>
        <w:pStyle w:val="Heading5"/>
        <w:keepNext w:val="0"/>
        <w:keepLines w:val="0"/>
        <w:numPr>
          <w:ilvl w:val="0"/>
          <w:numId w:val="2"/>
        </w:numPr>
        <w:spacing w:before="0" w:after="0"/>
      </w:pPr>
      <w:bookmarkStart w:id="11" w:name="_ai2jq6k66b1n" w:colFirst="0" w:colLast="0"/>
      <w:bookmarkEnd w:id="11"/>
      <w:r>
        <w:rPr>
          <w:b/>
          <w:bCs/>
        </w:rPr>
        <w:t>Tokenized Debt Integration:</w:t>
      </w:r>
      <w:r>
        <w:t xml:space="preserve"> Building on Week 3 ART, hybrid private debt with blockchain for liquidity (e.g., fractional hotel loans).</w:t>
      </w:r>
      <w:r>
        <w:br/>
      </w:r>
    </w:p>
    <w:p w14:paraId="6DCBE5C8" w14:textId="77777777" w:rsidR="00087C1D" w:rsidRDefault="00000000">
      <w:pPr>
        <w:pStyle w:val="Heading5"/>
        <w:keepNext w:val="0"/>
        <w:keepLines w:val="0"/>
        <w:numPr>
          <w:ilvl w:val="0"/>
          <w:numId w:val="2"/>
        </w:numPr>
        <w:spacing w:before="0" w:after="40"/>
      </w:pPr>
      <w:bookmarkStart w:id="12" w:name="_xe3oy533mqwx" w:colFirst="0" w:colLast="0"/>
      <w:bookmarkEnd w:id="12"/>
      <w:r>
        <w:rPr>
          <w:b/>
          <w:bCs/>
        </w:rPr>
        <w:t>Asia Expansion:</w:t>
      </w:r>
      <w:r>
        <w:t xml:space="preserve"> Singapore/HK as hubs for underserved SE Asia deals (Vietnam growth at 8%).</w:t>
      </w:r>
      <w:r>
        <w:br/>
      </w:r>
    </w:p>
    <w:p w14:paraId="423B1EC5" w14:textId="77777777" w:rsidR="00087C1D" w:rsidRDefault="00000000">
      <w:pPr>
        <w:pStyle w:val="Heading5"/>
        <w:keepNext w:val="0"/>
        <w:keepLines w:val="0"/>
        <w:spacing w:before="220" w:after="40"/>
        <w:rPr>
          <w:b/>
          <w:bCs/>
          <w:color w:val="000000"/>
          <w:sz w:val="24"/>
          <w:szCs w:val="24"/>
        </w:rPr>
      </w:pPr>
      <w:bookmarkStart w:id="13" w:name="_dmgnr6o922cf" w:colFirst="0" w:colLast="0"/>
      <w:bookmarkEnd w:id="13"/>
      <w:r>
        <w:rPr>
          <w:b/>
          <w:bCs/>
          <w:color w:val="000000"/>
          <w:sz w:val="24"/>
          <w:szCs w:val="24"/>
        </w:rPr>
        <w:t>Potential Clients</w:t>
      </w:r>
    </w:p>
    <w:p w14:paraId="711841CE" w14:textId="77777777" w:rsidR="00087C1D" w:rsidRDefault="00000000">
      <w:pPr>
        <w:spacing w:before="240" w:after="240"/>
      </w:pPr>
      <w:r>
        <w:t>Identified 10 HK/Asia-focused clients (exceeding minimum), based on investment history in private debt (sourced from Bloomberg, PEI, Hubbis). Criteria: AUM &gt;$50B, interest in yields 8-12%, contactable via events/LinkedIn.</w:t>
      </w:r>
    </w:p>
    <w:tbl>
      <w:tblPr>
        <w:tblStyle w:val="a0"/>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289"/>
        <w:gridCol w:w="1289"/>
        <w:gridCol w:w="1289"/>
        <w:gridCol w:w="1289"/>
        <w:gridCol w:w="1289"/>
        <w:gridCol w:w="1289"/>
        <w:gridCol w:w="1289"/>
      </w:tblGrid>
      <w:tr w:rsidR="00087C1D" w14:paraId="33E764BD"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17EA9" w14:textId="77777777" w:rsidR="00087C1D" w:rsidRDefault="00000000">
            <w:pPr>
              <w:jc w:val="center"/>
            </w:pPr>
            <w:r>
              <w:rPr>
                <w:b/>
                <w:bCs/>
              </w:rPr>
              <w:t>Client Name/Entity</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84F8C8" w14:textId="77777777" w:rsidR="00087C1D" w:rsidRDefault="00000000">
            <w:pPr>
              <w:jc w:val="center"/>
            </w:pPr>
            <w:r>
              <w:rPr>
                <w:b/>
                <w:bCs/>
              </w:rPr>
              <w:t>Type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48CCE5" w14:textId="77777777" w:rsidR="00087C1D" w:rsidRDefault="00000000">
            <w:pPr>
              <w:jc w:val="center"/>
            </w:pPr>
            <w:r>
              <w:rPr>
                <w:b/>
                <w:bCs/>
              </w:rPr>
              <w:t>Location</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E96EE5" w14:textId="77777777" w:rsidR="00087C1D" w:rsidRDefault="00000000">
            <w:pPr>
              <w:jc w:val="center"/>
            </w:pPr>
            <w:r>
              <w:rPr>
                <w:b/>
                <w:bCs/>
              </w:rPr>
              <w:t>AUM/Net Worth</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500ADA" w14:textId="77777777" w:rsidR="00087C1D" w:rsidRDefault="00000000">
            <w:pPr>
              <w:jc w:val="center"/>
            </w:pPr>
            <w:r>
              <w:rPr>
                <w:b/>
                <w:bCs/>
              </w:rPr>
              <w:t>Investment History</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BD27DC" w14:textId="77777777" w:rsidR="00087C1D" w:rsidRDefault="00000000">
            <w:pPr>
              <w:jc w:val="center"/>
            </w:pPr>
            <w:r>
              <w:rPr>
                <w:b/>
                <w:bCs/>
              </w:rPr>
              <w:t>Preferences</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AEF485" w14:textId="77777777" w:rsidR="00087C1D" w:rsidRDefault="00000000">
            <w:pPr>
              <w:jc w:val="center"/>
            </w:pPr>
            <w:r>
              <w:rPr>
                <w:b/>
                <w:bCs/>
              </w:rPr>
              <w:t>Contact Notes</w:t>
            </w:r>
          </w:p>
        </w:tc>
      </w:tr>
      <w:tr w:rsidR="00087C1D" w14:paraId="5BD2AB98"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07901" w14:textId="77777777" w:rsidR="00087C1D" w:rsidRDefault="00000000">
            <w:r>
              <w:t>Li Ka-shing Foundation</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FF0D1B" w14:textId="77777777" w:rsidR="00087C1D" w:rsidRDefault="00000000">
            <w:r>
              <w:t>Family Office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A6944E"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9469D2" w14:textId="77777777" w:rsidR="00087C1D" w:rsidRDefault="00000000">
            <w:r>
              <w:t>$30B+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AC964D" w14:textId="77777777" w:rsidR="00087C1D" w:rsidRDefault="00000000">
            <w:r>
              <w:t>$500M in real estate debt (2025)</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D0EC8DC" w14:textId="77777777" w:rsidR="00087C1D" w:rsidRDefault="00000000">
            <w:r>
              <w:t>Hotel refinancing, ESG</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3C854C" w14:textId="77777777" w:rsidR="00087C1D" w:rsidRDefault="00000000">
            <w:r>
              <w:t>horizons@likashing.org; HK property focus</w:t>
            </w:r>
          </w:p>
        </w:tc>
      </w:tr>
      <w:tr w:rsidR="00087C1D" w14:paraId="57B8B9AD"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0DD124" w14:textId="77777777" w:rsidR="00087C1D" w:rsidRDefault="00000000">
            <w:r>
              <w:t>Temasek Holdings</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D33A2" w14:textId="77777777" w:rsidR="00087C1D" w:rsidRDefault="00000000">
            <w:r>
              <w:t>Sovereign Wealth</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52BAB8" w14:textId="77777777" w:rsidR="00087C1D" w:rsidRDefault="00000000">
            <w:r>
              <w:t>Singapore (HK)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D22233" w14:textId="77777777" w:rsidR="00087C1D" w:rsidRDefault="00000000">
            <w:r>
              <w:t>$300B+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76D406" w14:textId="77777777" w:rsidR="00087C1D" w:rsidRDefault="00000000">
            <w:r>
              <w:t>$1B private credit (2026)</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B0A752" w14:textId="77777777" w:rsidR="00087C1D" w:rsidRDefault="00000000">
            <w:r>
              <w:t>Infrastructure debt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FD706" w14:textId="77777777" w:rsidR="00087C1D" w:rsidRDefault="00000000">
            <w:r>
              <w:t>investor@temasek.sg; Asia macro</w:t>
            </w:r>
          </w:p>
        </w:tc>
      </w:tr>
      <w:tr w:rsidR="00087C1D" w14:paraId="005D0D32"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B7FA0A" w14:textId="77777777" w:rsidR="00087C1D" w:rsidRDefault="00000000">
            <w:r>
              <w:t>BlackRock Asia</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002EEC" w14:textId="77777777" w:rsidR="00087C1D" w:rsidRDefault="00000000">
            <w:r>
              <w:t>Institutional</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14CCAD"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D0AD9" w14:textId="77777777" w:rsidR="00087C1D" w:rsidRDefault="00000000">
            <w:r>
              <w:t>$10T+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9611C2" w14:textId="77777777" w:rsidR="00087C1D" w:rsidRDefault="00000000">
            <w:r>
              <w:t>$2B in CRE debt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33FAAC" w14:textId="77777777" w:rsidR="00087C1D" w:rsidRDefault="00000000">
            <w:r>
              <w:t>Asset-based finance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245EFF" w14:textId="77777777" w:rsidR="00087C1D" w:rsidRDefault="00000000">
            <w:r>
              <w:t>apac@blackrock.com; Tokenized hybrids</w:t>
            </w:r>
          </w:p>
        </w:tc>
      </w:tr>
      <w:tr w:rsidR="00087C1D" w14:paraId="19906D36"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CFDF41" w14:textId="77777777" w:rsidR="00087C1D" w:rsidRDefault="00000000">
            <w:r>
              <w:t>UBS Wealth Asia</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B47AE9" w14:textId="77777777" w:rsidR="00087C1D" w:rsidRDefault="00000000">
            <w:r>
              <w:t>Advisor</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DC0AA3"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790DD2E" w14:textId="77777777" w:rsidR="00087C1D" w:rsidRDefault="00000000">
            <w:r>
              <w:t>$3T+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81F441" w14:textId="77777777" w:rsidR="00087C1D" w:rsidRDefault="00000000">
            <w:r>
              <w:t>$800M mezzanine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844F32" w14:textId="77777777" w:rsidR="00087C1D" w:rsidRDefault="00000000">
            <w:r>
              <w:t>High-yield real estate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F10B3" w14:textId="77777777" w:rsidR="00087C1D" w:rsidRDefault="00000000">
            <w:r>
              <w:t>wealth@ubs.com; Professional clients</w:t>
            </w:r>
          </w:p>
        </w:tc>
      </w:tr>
      <w:tr w:rsidR="00087C1D" w14:paraId="529B004B"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BA5D59" w14:textId="77777777" w:rsidR="00087C1D" w:rsidRDefault="00000000">
            <w:r>
              <w:lastRenderedPageBreak/>
              <w:t>PAG</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C0A09" w14:textId="77777777" w:rsidR="00087C1D" w:rsidRDefault="00000000">
            <w:r>
              <w:t>Private Debt Firm</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9A18F"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F7BDD3" w14:textId="77777777" w:rsidR="00087C1D" w:rsidRDefault="00000000">
            <w:r>
              <w:t>$50B+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39F715" w14:textId="77777777" w:rsidR="00087C1D" w:rsidRDefault="00000000">
            <w:r>
              <w:t>$10B Asia lending</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8B9A4" w14:textId="77777777" w:rsidR="00087C1D" w:rsidRDefault="00000000">
            <w:r>
              <w:t>Distressed hotel</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86C0B0" w14:textId="77777777" w:rsidR="00087C1D" w:rsidRDefault="00000000">
            <w:r>
              <w:t>info@pag.com; Partner for brokering</w:t>
            </w:r>
          </w:p>
        </w:tc>
      </w:tr>
      <w:tr w:rsidR="00087C1D" w14:paraId="494944E1"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672DB7" w14:textId="77777777" w:rsidR="00087C1D" w:rsidRDefault="00000000">
            <w:r>
              <w:t>CBC Group</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1919B" w14:textId="77777777" w:rsidR="00087C1D" w:rsidRDefault="00000000">
            <w:r>
              <w:t>Healthcare Investor</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4BD620"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627C43" w14:textId="77777777" w:rsidR="00087C1D" w:rsidRDefault="00000000">
            <w:r>
              <w:t>$20B+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461319" w14:textId="77777777" w:rsidR="00087C1D" w:rsidRDefault="00000000">
            <w:r>
              <w:t>$500M private debt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4576A31" w14:textId="77777777" w:rsidR="00087C1D" w:rsidRDefault="00000000">
            <w:r>
              <w:t>Sector-specific refinancing</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91B7E9" w14:textId="77777777" w:rsidR="00087C1D" w:rsidRDefault="00000000">
            <w:r>
              <w:t>ir@cbcgroup.com; AI/health infra</w:t>
            </w:r>
          </w:p>
        </w:tc>
      </w:tr>
      <w:tr w:rsidR="00087C1D" w14:paraId="42EBD2B9"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E44069" w14:textId="77777777" w:rsidR="00087C1D" w:rsidRDefault="00000000">
            <w:r>
              <w:t>Hillhouse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7B95C" w14:textId="77777777" w:rsidR="00087C1D" w:rsidRDefault="00000000">
            <w:r>
              <w:t>PE Firm</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DEE7A0" w14:textId="77777777" w:rsidR="00087C1D" w:rsidRDefault="00000000">
            <w:r>
              <w:t>Singapore/HK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89981" w14:textId="77777777" w:rsidR="00087C1D" w:rsidRDefault="00000000">
            <w:r>
              <w:t>$60B+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D59C10" w14:textId="77777777" w:rsidR="00087C1D" w:rsidRDefault="00000000">
            <w:r>
              <w:t>$1B credit funds</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D1067A" w14:textId="77777777" w:rsidR="00087C1D" w:rsidRDefault="00000000">
            <w:r>
              <w:t>Tech-linked debt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F2491E" w14:textId="77777777" w:rsidR="00087C1D" w:rsidRDefault="00000000">
            <w:r>
              <w:t>info@hillhouse.com; 2026 raise</w:t>
            </w:r>
          </w:p>
        </w:tc>
      </w:tr>
      <w:tr w:rsidR="00087C1D" w14:paraId="03D5BC16"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FFE057" w14:textId="77777777" w:rsidR="00087C1D" w:rsidRDefault="00000000">
            <w:r>
              <w:t>Warburg Pincus Asia</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4E6157" w14:textId="77777777" w:rsidR="00087C1D" w:rsidRDefault="00000000">
            <w:r>
              <w:t>PE</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F92A7D"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DFB5C2" w14:textId="77777777" w:rsidR="00087C1D" w:rsidRDefault="00000000">
            <w:r>
              <w:t>$80B+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4C9DBB" w14:textId="77777777" w:rsidR="00087C1D" w:rsidRDefault="00000000">
            <w:r>
              <w:t>$700M direct lending</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4BE8FE" w14:textId="77777777" w:rsidR="00087C1D" w:rsidRDefault="00000000">
            <w:r>
              <w:t>Corporate refinancing</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366537" w14:textId="77777777" w:rsidR="00087C1D" w:rsidRDefault="00000000">
            <w:r>
              <w:t>asia@warburgpincus.com; Valuations focus</w:t>
            </w:r>
          </w:p>
        </w:tc>
      </w:tr>
      <w:tr w:rsidR="00087C1D" w14:paraId="4A40A6DD"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D47F2" w14:textId="77777777" w:rsidR="00087C1D" w:rsidRDefault="00000000">
            <w:r>
              <w:t>Standard Chartered PB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1DDF258" w14:textId="77777777" w:rsidR="00087C1D" w:rsidRDefault="00000000">
            <w:r>
              <w:t>Advisor</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A6F53C"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1ABB6B" w14:textId="77777777" w:rsidR="00087C1D" w:rsidRDefault="00000000">
            <w:r>
              <w:t>$500B+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4A953" w14:textId="77777777" w:rsidR="00087C1D" w:rsidRDefault="00000000">
            <w:r>
              <w:t>$400M SE Asia debt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30AA7F" w14:textId="77777777" w:rsidR="00087C1D" w:rsidRDefault="00000000">
            <w:r>
              <w:t>Emerging market</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099FB4" w14:textId="77777777" w:rsidR="00087C1D" w:rsidRDefault="00000000">
            <w:r>
              <w:t>private@sc.com; Liquidity needs</w:t>
            </w:r>
          </w:p>
        </w:tc>
      </w:tr>
      <w:tr w:rsidR="00087C1D" w14:paraId="1F7D4EA6" w14:textId="77777777">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4E4A66" w14:textId="77777777" w:rsidR="00087C1D" w:rsidRDefault="00000000">
            <w:r>
              <w:t>Deutsche Bank PW Asia</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88E3ED" w14:textId="77777777" w:rsidR="00087C1D" w:rsidRDefault="00000000">
            <w:r>
              <w:t>Advisor</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19CCFC5" w14:textId="77777777" w:rsidR="00087C1D" w:rsidRDefault="00000000">
            <w:r>
              <w:t>HK</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DB75C8" w14:textId="77777777" w:rsidR="00087C1D" w:rsidRDefault="00000000">
            <w:r>
              <w:t>$400B+</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4262DA" w14:textId="77777777" w:rsidR="00087C1D" w:rsidRDefault="00000000">
            <w:r>
              <w:t>$300M inflation-linked</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D7464C" w14:textId="77777777" w:rsidR="00087C1D" w:rsidRDefault="00000000">
            <w:r>
              <w:t>CRE opportunities</w:t>
            </w:r>
          </w:p>
        </w:tc>
        <w:tc>
          <w:tcPr>
            <w:tcW w:w="128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B0AA2E" w14:textId="77777777" w:rsidR="00087C1D" w:rsidRDefault="00000000">
            <w:r>
              <w:t>private@db.com; Post-restructuring</w:t>
            </w:r>
          </w:p>
        </w:tc>
      </w:tr>
    </w:tbl>
    <w:p w14:paraId="253F0907" w14:textId="77777777" w:rsidR="00087C1D" w:rsidRDefault="00000000">
      <w:pPr>
        <w:pStyle w:val="Heading3"/>
        <w:keepNext w:val="0"/>
        <w:keepLines w:val="0"/>
        <w:spacing w:before="280"/>
        <w:rPr>
          <w:b/>
          <w:bCs/>
          <w:color w:val="000000"/>
          <w:sz w:val="26"/>
          <w:szCs w:val="26"/>
        </w:rPr>
      </w:pPr>
      <w:bookmarkStart w:id="14" w:name="_681qeij6zxvb" w:colFirst="0" w:colLast="0"/>
      <w:bookmarkEnd w:id="14"/>
      <w:r>
        <w:br w:type="page"/>
      </w:r>
    </w:p>
    <w:p w14:paraId="7E4A1965" w14:textId="77777777" w:rsidR="00087C1D" w:rsidRDefault="00000000">
      <w:pPr>
        <w:pStyle w:val="Heading3"/>
        <w:keepNext w:val="0"/>
        <w:keepLines w:val="0"/>
        <w:spacing w:before="280"/>
        <w:rPr>
          <w:b/>
          <w:bCs/>
          <w:color w:val="000000"/>
          <w:sz w:val="26"/>
          <w:szCs w:val="26"/>
        </w:rPr>
      </w:pPr>
      <w:bookmarkStart w:id="15" w:name="_u7wu23c8ov8z" w:colFirst="0" w:colLast="0"/>
      <w:bookmarkEnd w:id="15"/>
      <w:r>
        <w:rPr>
          <w:b/>
          <w:bCs/>
          <w:color w:val="000000"/>
          <w:sz w:val="26"/>
          <w:szCs w:val="26"/>
        </w:rPr>
        <w:lastRenderedPageBreak/>
        <w:t>Task 2: Deal Structuring Exercise</w:t>
      </w:r>
    </w:p>
    <w:p w14:paraId="7BBD3F4F" w14:textId="77777777" w:rsidR="00087C1D" w:rsidRDefault="00000000">
      <w:pPr>
        <w:pStyle w:val="Heading4"/>
        <w:keepNext w:val="0"/>
        <w:keepLines w:val="0"/>
        <w:spacing w:before="240" w:after="40"/>
        <w:rPr>
          <w:b/>
          <w:bCs/>
          <w:color w:val="000000"/>
          <w:sz w:val="22"/>
          <w:szCs w:val="22"/>
        </w:rPr>
      </w:pPr>
      <w:bookmarkStart w:id="16" w:name="_y1ch29f71yvf" w:colFirst="0" w:colLast="0"/>
      <w:bookmarkEnd w:id="16"/>
      <w:r>
        <w:rPr>
          <w:b/>
          <w:bCs/>
          <w:color w:val="000000"/>
          <w:sz w:val="22"/>
          <w:szCs w:val="22"/>
        </w:rPr>
        <w:t>Mock Deal Proposal: Hotel Refinancing Scenario</w:t>
      </w:r>
    </w:p>
    <w:p w14:paraId="2632B110" w14:textId="77777777" w:rsidR="00087C1D" w:rsidRDefault="00000000">
      <w:pPr>
        <w:spacing w:before="240" w:after="240" w:line="360" w:lineRule="auto"/>
      </w:pPr>
      <w:r>
        <w:rPr>
          <w:b/>
          <w:bCs/>
        </w:rPr>
        <w:t>To:</w:t>
      </w:r>
      <w:r>
        <w:t xml:space="preserve"> AxTrade Investment Committee</w:t>
      </w:r>
      <w:r>
        <w:br/>
        <w:t xml:space="preserve"> </w:t>
      </w:r>
      <w:r>
        <w:rPr>
          <w:b/>
          <w:bCs/>
        </w:rPr>
        <w:t>From:</w:t>
      </w:r>
      <w:r>
        <w:t xml:space="preserve"> Oscar Chan, Intern</w:t>
      </w:r>
      <w:r>
        <w:br/>
        <w:t xml:space="preserve"> </w:t>
      </w:r>
      <w:r>
        <w:rPr>
          <w:b/>
          <w:bCs/>
        </w:rPr>
        <w:t>Subject:</w:t>
      </w:r>
      <w:r>
        <w:t xml:space="preserve"> Mock Private Debt Deal – Refinancing for Harbour Grand Hotel, Hong Kong</w:t>
      </w:r>
      <w:r>
        <w:br/>
        <w:t xml:space="preserve"> </w:t>
      </w:r>
      <w:r>
        <w:rPr>
          <w:b/>
          <w:bCs/>
        </w:rPr>
        <w:t>Date:</w:t>
      </w:r>
      <w:r>
        <w:t xml:space="preserve"> February 1, 2026</w:t>
      </w:r>
    </w:p>
    <w:p w14:paraId="01BF73EE" w14:textId="77777777" w:rsidR="00087C1D" w:rsidRDefault="00000000">
      <w:pPr>
        <w:spacing w:before="240" w:after="240" w:line="360" w:lineRule="auto"/>
      </w:pPr>
      <w:r>
        <w:t>This mock proposal structures a $50M private debt facility for Harbour Grand Hotel (a 5-star property in Kowloon, HK, owned by hypothetical “HK Hospitality Group”). Scenario: Post-pandemic recovery, with occupancy at 85% (up from 60% in 2024), but existing bank loan maturing amid tight liquidity. AxTrade brokers a mezzanine loan to refinance, yielding 10-12% for lenders. Deal aligns with HK’s tourism boom (visitor arrivals +25% in 2025, per HK Tourism Board) and private debt trends (CRE refinancing wave, per ULI Asia).</w:t>
      </w:r>
    </w:p>
    <w:p w14:paraId="28CF1F05" w14:textId="77777777" w:rsidR="00087C1D" w:rsidRDefault="00087C1D">
      <w:pPr>
        <w:spacing w:before="240" w:after="240"/>
        <w:rPr>
          <w:b/>
          <w:bCs/>
        </w:rPr>
      </w:pPr>
    </w:p>
    <w:p w14:paraId="2CE5C714" w14:textId="77777777" w:rsidR="00087C1D" w:rsidRDefault="00087C1D">
      <w:pPr>
        <w:spacing w:before="240" w:after="240"/>
        <w:rPr>
          <w:b/>
          <w:bCs/>
        </w:rPr>
      </w:pPr>
    </w:p>
    <w:p w14:paraId="061326F5" w14:textId="77777777" w:rsidR="00087C1D" w:rsidRDefault="00000000">
      <w:pPr>
        <w:spacing w:before="240" w:after="240" w:line="360" w:lineRule="auto"/>
        <w:rPr>
          <w:b/>
          <w:bCs/>
        </w:rPr>
      </w:pPr>
      <w:r>
        <w:rPr>
          <w:b/>
          <w:bCs/>
        </w:rPr>
        <w:t>Borrower Profile:</w:t>
      </w:r>
    </w:p>
    <w:p w14:paraId="27CA2C91" w14:textId="77777777" w:rsidR="00087C1D" w:rsidRDefault="00000000">
      <w:pPr>
        <w:numPr>
          <w:ilvl w:val="0"/>
          <w:numId w:val="4"/>
        </w:numPr>
        <w:spacing w:before="240" w:line="360" w:lineRule="auto"/>
      </w:pPr>
      <w:r>
        <w:rPr>
          <w:b/>
          <w:bCs/>
        </w:rPr>
        <w:t>Asset:</w:t>
      </w:r>
      <w:r>
        <w:t xml:space="preserve"> 828-room hotel with 80% occupancy, generating $60M annual revenue (2025). Valued at $300M (LTV 60%).</w:t>
      </w:r>
      <w:r>
        <w:br/>
      </w:r>
    </w:p>
    <w:p w14:paraId="121C8CEC" w14:textId="77777777" w:rsidR="00087C1D" w:rsidRDefault="00000000">
      <w:pPr>
        <w:numPr>
          <w:ilvl w:val="0"/>
          <w:numId w:val="4"/>
        </w:numPr>
        <w:spacing w:line="360" w:lineRule="auto"/>
      </w:pPr>
      <w:r>
        <w:rPr>
          <w:b/>
          <w:bCs/>
        </w:rPr>
        <w:t>Financials:</w:t>
      </w:r>
      <w:r>
        <w:t xml:space="preserve"> EBITDA $15M, debt service coverage 1.5x. Risks: Geopolitical impacts on tourism mitigated by domestic focus.</w:t>
      </w:r>
      <w:r>
        <w:br/>
      </w:r>
    </w:p>
    <w:p w14:paraId="6C56EFD5" w14:textId="77777777" w:rsidR="00087C1D" w:rsidRDefault="00000000">
      <w:pPr>
        <w:numPr>
          <w:ilvl w:val="0"/>
          <w:numId w:val="4"/>
        </w:numPr>
        <w:spacing w:after="240" w:line="360" w:lineRule="auto"/>
      </w:pPr>
      <w:r>
        <w:rPr>
          <w:b/>
          <w:bCs/>
        </w:rPr>
        <w:t>Use of Proceeds:</w:t>
      </w:r>
      <w:r>
        <w:t xml:space="preserve"> $30M to refinance senior bank debt, $20M for renovations (e.g., ESG upgrades).</w:t>
      </w:r>
      <w:r>
        <w:br/>
      </w:r>
    </w:p>
    <w:p w14:paraId="5E3B9DC3" w14:textId="77777777" w:rsidR="00087C1D" w:rsidRDefault="00000000">
      <w:pPr>
        <w:spacing w:before="240" w:after="240" w:line="360" w:lineRule="auto"/>
      </w:pPr>
      <w:r>
        <w:rPr>
          <w:b/>
          <w:bCs/>
        </w:rPr>
        <w:t>Deal Structure:</w:t>
      </w:r>
      <w:r>
        <w:t xml:space="preserve"> Senior-mezzanine hybrid, 5-year term, non-recourse to parent. </w:t>
      </w:r>
    </w:p>
    <w:p w14:paraId="30202486" w14:textId="77777777" w:rsidR="00087C1D" w:rsidRDefault="00000000">
      <w:pPr>
        <w:pStyle w:val="Heading5"/>
        <w:keepNext w:val="0"/>
        <w:keepLines w:val="0"/>
        <w:spacing w:before="220" w:after="40"/>
        <w:rPr>
          <w:b/>
          <w:bCs/>
          <w:color w:val="000000"/>
          <w:sz w:val="24"/>
          <w:szCs w:val="24"/>
        </w:rPr>
      </w:pPr>
      <w:bookmarkStart w:id="17" w:name="_cwwtgvqrkoc8" w:colFirst="0" w:colLast="0"/>
      <w:bookmarkEnd w:id="17"/>
      <w:r>
        <w:br w:type="page"/>
      </w:r>
    </w:p>
    <w:p w14:paraId="5C25E49F" w14:textId="77777777" w:rsidR="00087C1D" w:rsidRDefault="00000000">
      <w:pPr>
        <w:pStyle w:val="Heading5"/>
        <w:keepNext w:val="0"/>
        <w:keepLines w:val="0"/>
        <w:spacing w:before="220" w:after="40"/>
        <w:rPr>
          <w:b/>
          <w:bCs/>
          <w:color w:val="000000"/>
          <w:sz w:val="24"/>
          <w:szCs w:val="24"/>
        </w:rPr>
      </w:pPr>
      <w:bookmarkStart w:id="18" w:name="_si8jeblmb3xr" w:colFirst="0" w:colLast="0"/>
      <w:bookmarkEnd w:id="18"/>
      <w:r>
        <w:rPr>
          <w:b/>
          <w:bCs/>
          <w:color w:val="000000"/>
          <w:sz w:val="24"/>
          <w:szCs w:val="24"/>
        </w:rPr>
        <w:lastRenderedPageBreak/>
        <w:t>Term Sheet:</w:t>
      </w:r>
    </w:p>
    <w:p w14:paraId="34C08D97" w14:textId="77777777" w:rsidR="00087C1D" w:rsidRDefault="00087C1D">
      <w:pPr>
        <w:spacing w:before="240" w:after="240" w:line="480" w:lineRule="auto"/>
        <w:rPr>
          <w:b/>
          <w:bCs/>
        </w:rPr>
      </w:pPr>
    </w:p>
    <w:p w14:paraId="5A04ADEC" w14:textId="77777777" w:rsidR="00087C1D" w:rsidRDefault="00000000">
      <w:pPr>
        <w:spacing w:before="240" w:after="240" w:line="480" w:lineRule="auto"/>
      </w:pPr>
      <w:r>
        <w:rPr>
          <w:b/>
          <w:bCs/>
        </w:rPr>
        <w:t xml:space="preserve"> Facility:</w:t>
      </w:r>
      <w:r>
        <w:t xml:space="preserve"> $50M Mezzanine Loan</w:t>
      </w:r>
      <w:r>
        <w:br/>
        <w:t xml:space="preserve"> </w:t>
      </w:r>
      <w:r>
        <w:rPr>
          <w:b/>
          <w:bCs/>
        </w:rPr>
        <w:t>Borrower:</w:t>
      </w:r>
      <w:r>
        <w:t xml:space="preserve"> HK Hospitality Group Ltd.</w:t>
      </w:r>
      <w:r>
        <w:br/>
        <w:t xml:space="preserve"> </w:t>
      </w:r>
      <w:r>
        <w:rPr>
          <w:b/>
          <w:bCs/>
        </w:rPr>
        <w:t>Lender:</w:t>
      </w:r>
      <w:r>
        <w:t xml:space="preserve"> AxTrade-brokered syndicate</w:t>
      </w:r>
      <w:r>
        <w:br/>
        <w:t xml:space="preserve"> </w:t>
      </w:r>
      <w:r>
        <w:rPr>
          <w:b/>
          <w:bCs/>
        </w:rPr>
        <w:t>Purpose:</w:t>
      </w:r>
      <w:r>
        <w:t xml:space="preserve"> Refinance existing debt and fund capex.</w:t>
      </w:r>
      <w:r>
        <w:br/>
        <w:t xml:space="preserve"> </w:t>
      </w:r>
      <w:r>
        <w:rPr>
          <w:b/>
          <w:bCs/>
        </w:rPr>
        <w:t>Amount:</w:t>
      </w:r>
      <w:r>
        <w:t xml:space="preserve"> $50M (tranche A: $30M senior secured, tranche B: $20M mezzanine).</w:t>
      </w:r>
      <w:r>
        <w:br/>
        <w:t xml:space="preserve"> </w:t>
      </w:r>
      <w:r>
        <w:rPr>
          <w:b/>
          <w:bCs/>
        </w:rPr>
        <w:t>Tenor:</w:t>
      </w:r>
      <w:r>
        <w:t xml:space="preserve"> 5 years, bullet repayment.</w:t>
      </w:r>
      <w:r>
        <w:br/>
        <w:t xml:space="preserve"> </w:t>
      </w:r>
      <w:r>
        <w:rPr>
          <w:b/>
          <w:bCs/>
        </w:rPr>
        <w:t>Interest Rate:</w:t>
      </w:r>
      <w:r>
        <w:t xml:space="preserve"> Tranche A: HIBOR + 4% (floating, ~8% current). Tranche B: 12% fixed (PIK option for first 2 years).</w:t>
      </w:r>
      <w:r>
        <w:br/>
        <w:t xml:space="preserve"> </w:t>
      </w:r>
      <w:r>
        <w:rPr>
          <w:b/>
          <w:bCs/>
        </w:rPr>
        <w:t>Fees:</w:t>
      </w:r>
      <w:r>
        <w:t xml:space="preserve"> Arrangement 1.5% ($750K to AxTrade), commitment 0.5%.</w:t>
      </w:r>
      <w:r>
        <w:br/>
        <w:t xml:space="preserve"> </w:t>
      </w:r>
      <w:r>
        <w:rPr>
          <w:b/>
          <w:bCs/>
        </w:rPr>
        <w:t>Security:</w:t>
      </w:r>
      <w:r>
        <w:t xml:space="preserve"> First lien on hotel assets (tranche A), second lien (tranche B). Covenants: DSCR &gt;1.2x, LTV &lt;70%.</w:t>
      </w:r>
      <w:r>
        <w:br/>
        <w:t xml:space="preserve"> </w:t>
      </w:r>
      <w:r>
        <w:rPr>
          <w:b/>
          <w:bCs/>
        </w:rPr>
        <w:t>Prepayment:</w:t>
      </w:r>
      <w:r>
        <w:t xml:space="preserve"> Allowed after year 3 with 2% penalty.</w:t>
      </w:r>
      <w:r>
        <w:br/>
        <w:t xml:space="preserve"> </w:t>
      </w:r>
      <w:r>
        <w:rPr>
          <w:b/>
          <w:bCs/>
        </w:rPr>
        <w:t>Exit Strategy:</w:t>
      </w:r>
      <w:r>
        <w:t xml:space="preserve"> Refinance via IPO/bank takeout or sale (hotel values +15% projected in 2026, per Colliers HK).</w:t>
      </w:r>
      <w:r>
        <w:br/>
        <w:t xml:space="preserve"> </w:t>
      </w:r>
      <w:r>
        <w:rPr>
          <w:b/>
          <w:bCs/>
        </w:rPr>
        <w:t>Risks/Mitigation:</w:t>
      </w:r>
      <w:r>
        <w:t xml:space="preserve"> Interest rate risk (cap at 10%), tourism downturn (insurance/hedges). Yield to lender: 11% IRR.</w:t>
      </w:r>
      <w:r>
        <w:br/>
        <w:t xml:space="preserve"> </w:t>
      </w:r>
      <w:r>
        <w:rPr>
          <w:b/>
          <w:bCs/>
        </w:rPr>
        <w:t>AxTrade Role:</w:t>
      </w:r>
      <w:r>
        <w:t xml:space="preserve"> Broker, earning 2% total fees ($1M).</w:t>
      </w:r>
    </w:p>
    <w:p w14:paraId="3A69AE77" w14:textId="77777777" w:rsidR="00087C1D" w:rsidRDefault="00000000">
      <w:pPr>
        <w:spacing w:before="240" w:after="240" w:line="480" w:lineRule="auto"/>
      </w:pPr>
      <w:r>
        <w:t>This deal demonstrates brokering value, targeting 10% lender returns in a resilient sector.</w:t>
      </w:r>
    </w:p>
    <w:p w14:paraId="0356E513" w14:textId="77777777" w:rsidR="00087C1D" w:rsidRDefault="00000000">
      <w:pPr>
        <w:pStyle w:val="Heading3"/>
        <w:keepNext w:val="0"/>
        <w:keepLines w:val="0"/>
        <w:spacing w:before="280"/>
        <w:rPr>
          <w:b/>
          <w:bCs/>
          <w:color w:val="000000"/>
          <w:sz w:val="26"/>
          <w:szCs w:val="26"/>
        </w:rPr>
      </w:pPr>
      <w:bookmarkStart w:id="19" w:name="_x59oqyft573f" w:colFirst="0" w:colLast="0"/>
      <w:bookmarkEnd w:id="19"/>
      <w:r>
        <w:br w:type="page"/>
      </w:r>
      <w:r>
        <w:rPr>
          <w:b/>
          <w:bCs/>
          <w:color w:val="000000"/>
          <w:sz w:val="26"/>
          <w:szCs w:val="26"/>
        </w:rPr>
        <w:lastRenderedPageBreak/>
        <w:t>Task 3: Networking and Relationship Building</w:t>
      </w:r>
    </w:p>
    <w:p w14:paraId="379EB536" w14:textId="77777777" w:rsidR="00087C1D" w:rsidRDefault="00087C1D">
      <w:pPr>
        <w:pStyle w:val="Heading4"/>
        <w:keepNext w:val="0"/>
        <w:keepLines w:val="0"/>
        <w:spacing w:before="240" w:after="40"/>
        <w:rPr>
          <w:b/>
          <w:bCs/>
          <w:color w:val="000000"/>
          <w:sz w:val="22"/>
          <w:szCs w:val="22"/>
        </w:rPr>
      </w:pPr>
      <w:bookmarkStart w:id="20" w:name="_cofzvpwqrd05" w:colFirst="0" w:colLast="0"/>
      <w:bookmarkEnd w:id="20"/>
    </w:p>
    <w:p w14:paraId="5E9AB201" w14:textId="77777777" w:rsidR="00087C1D" w:rsidRDefault="00087C1D">
      <w:pPr>
        <w:pStyle w:val="Heading4"/>
        <w:keepNext w:val="0"/>
        <w:keepLines w:val="0"/>
        <w:spacing w:before="240" w:after="40"/>
        <w:rPr>
          <w:b/>
          <w:bCs/>
          <w:color w:val="000000"/>
          <w:sz w:val="22"/>
          <w:szCs w:val="22"/>
        </w:rPr>
      </w:pPr>
      <w:bookmarkStart w:id="21" w:name="_modguemxyap4" w:colFirst="0" w:colLast="0"/>
      <w:bookmarkEnd w:id="21"/>
    </w:p>
    <w:p w14:paraId="6FABC4F3" w14:textId="77777777" w:rsidR="00087C1D" w:rsidRDefault="00000000">
      <w:pPr>
        <w:pStyle w:val="Heading4"/>
        <w:keepNext w:val="0"/>
        <w:keepLines w:val="0"/>
        <w:spacing w:before="240" w:after="40"/>
        <w:rPr>
          <w:b/>
          <w:bCs/>
          <w:color w:val="000000"/>
          <w:sz w:val="22"/>
          <w:szCs w:val="22"/>
        </w:rPr>
      </w:pPr>
      <w:bookmarkStart w:id="22" w:name="_ay20afe4pdmt" w:colFirst="0" w:colLast="0"/>
      <w:bookmarkEnd w:id="22"/>
      <w:r>
        <w:rPr>
          <w:b/>
          <w:bCs/>
          <w:color w:val="000000"/>
          <w:sz w:val="22"/>
          <w:szCs w:val="22"/>
        </w:rPr>
        <w:t>Networking Strategy</w:t>
      </w:r>
    </w:p>
    <w:p w14:paraId="2BAF9065" w14:textId="77777777" w:rsidR="00087C1D" w:rsidRDefault="00000000">
      <w:pPr>
        <w:spacing w:before="240" w:after="240"/>
      </w:pPr>
      <w:r>
        <w:t>To build relationships in private debt, focus on HK/Asia’s ecosystem (e.g., mid-market lenders, family offices). The followings are the strategies:</w:t>
      </w:r>
    </w:p>
    <w:p w14:paraId="09433EBF" w14:textId="77777777" w:rsidR="00087C1D" w:rsidRDefault="00000000">
      <w:pPr>
        <w:numPr>
          <w:ilvl w:val="0"/>
          <w:numId w:val="1"/>
        </w:numPr>
        <w:spacing w:before="240"/>
      </w:pPr>
      <w:r>
        <w:rPr>
          <w:b/>
          <w:bCs/>
        </w:rPr>
        <w:t>Leverage Events:</w:t>
      </w:r>
      <w:r>
        <w:t xml:space="preserve"> Attend 4-6 annual events (e.g., SuperReturn Asia, HK Private Debt Forum) for targeted intros. Goal: 2 meetings per event.</w:t>
      </w:r>
      <w:r>
        <w:br/>
      </w:r>
    </w:p>
    <w:p w14:paraId="73CAE6DF" w14:textId="77777777" w:rsidR="00087C1D" w:rsidRDefault="00000000">
      <w:pPr>
        <w:numPr>
          <w:ilvl w:val="0"/>
          <w:numId w:val="1"/>
        </w:numPr>
      </w:pPr>
      <w:r>
        <w:rPr>
          <w:b/>
          <w:bCs/>
        </w:rPr>
        <w:t>Digital Outreach:</w:t>
      </w:r>
      <w:r>
        <w:t xml:space="preserve"> Use LinkedIn/X for warm intros (e.g., comment on posts, share insights from Task 1). Send personalized InMails referencing shared interests (e.g., hotel debt).</w:t>
      </w:r>
      <w:r>
        <w:br/>
      </w:r>
    </w:p>
    <w:p w14:paraId="4A07EFC6" w14:textId="77777777" w:rsidR="00087C1D" w:rsidRDefault="00000000">
      <w:pPr>
        <w:numPr>
          <w:ilvl w:val="0"/>
          <w:numId w:val="1"/>
        </w:numPr>
      </w:pPr>
      <w:r>
        <w:rPr>
          <w:b/>
          <w:bCs/>
        </w:rPr>
        <w:t>Value-Add Approach:</w:t>
      </w:r>
      <w:r>
        <w:t xml:space="preserve"> Offer free market reports (from Task 1) or co-host webinars on trends. Follow-up with quarterly check-ins.</w:t>
      </w:r>
      <w:r>
        <w:br/>
      </w:r>
    </w:p>
    <w:p w14:paraId="2D865506" w14:textId="77777777" w:rsidR="00087C1D" w:rsidRDefault="00000000">
      <w:pPr>
        <w:numPr>
          <w:ilvl w:val="0"/>
          <w:numId w:val="1"/>
        </w:numPr>
      </w:pPr>
      <w:r>
        <w:rPr>
          <w:b/>
          <w:bCs/>
        </w:rPr>
        <w:t>Partnerships:</w:t>
      </w:r>
      <w:r>
        <w:t xml:space="preserve"> Collaborate with advisors (e.g., UBS) for referrals. Track via CRM, aiming for 20% conversion to deals.</w:t>
      </w:r>
      <w:r>
        <w:br/>
      </w:r>
    </w:p>
    <w:p w14:paraId="157895B5" w14:textId="77777777" w:rsidR="00087C1D" w:rsidRDefault="00000000">
      <w:pPr>
        <w:numPr>
          <w:ilvl w:val="0"/>
          <w:numId w:val="1"/>
        </w:numPr>
        <w:spacing w:after="240"/>
      </w:pPr>
      <w:r>
        <w:rPr>
          <w:b/>
          <w:bCs/>
        </w:rPr>
        <w:t>Timeline:</w:t>
      </w:r>
      <w:r>
        <w:t xml:space="preserve"> Q1 2026: Build list, Q2: Engage, Q3-Q4: Close opportunities. Measure: 10 new relationships/year.</w:t>
      </w:r>
      <w:r>
        <w:br/>
      </w:r>
    </w:p>
    <w:p w14:paraId="4E140204" w14:textId="77777777" w:rsidR="00087C1D" w:rsidRDefault="00000000">
      <w:pPr>
        <w:pStyle w:val="Heading4"/>
        <w:keepNext w:val="0"/>
        <w:keepLines w:val="0"/>
        <w:spacing w:before="240" w:after="40"/>
        <w:rPr>
          <w:b/>
          <w:bCs/>
          <w:color w:val="000000"/>
          <w:sz w:val="22"/>
          <w:szCs w:val="22"/>
        </w:rPr>
      </w:pPr>
      <w:bookmarkStart w:id="23" w:name="_jui3md7m1tit" w:colFirst="0" w:colLast="0"/>
      <w:bookmarkEnd w:id="23"/>
      <w:r>
        <w:br w:type="page"/>
      </w:r>
    </w:p>
    <w:p w14:paraId="709E354F" w14:textId="77777777" w:rsidR="00087C1D" w:rsidRDefault="00000000">
      <w:pPr>
        <w:pStyle w:val="Heading4"/>
        <w:keepNext w:val="0"/>
        <w:keepLines w:val="0"/>
        <w:spacing w:before="240" w:after="40"/>
        <w:rPr>
          <w:b/>
          <w:bCs/>
          <w:color w:val="000000"/>
          <w:sz w:val="22"/>
          <w:szCs w:val="22"/>
        </w:rPr>
      </w:pPr>
      <w:bookmarkStart w:id="24" w:name="_lfcwgc5rwxcz" w:colFirst="0" w:colLast="0"/>
      <w:bookmarkEnd w:id="24"/>
      <w:r>
        <w:rPr>
          <w:b/>
          <w:bCs/>
          <w:color w:val="000000"/>
          <w:sz w:val="22"/>
          <w:szCs w:val="22"/>
        </w:rPr>
        <w:lastRenderedPageBreak/>
        <w:t>Identified Contacts:</w:t>
      </w:r>
    </w:p>
    <w:p w14:paraId="006FFA16" w14:textId="77777777" w:rsidR="00087C1D" w:rsidRDefault="00000000">
      <w:pPr>
        <w:spacing w:before="240" w:after="240"/>
      </w:pPr>
      <w:r>
        <w:t>Selected for HK/Asia relevance, based on roles in private debt (sourced from LinkedIn, PEI, Hubbis).</w:t>
      </w:r>
    </w:p>
    <w:tbl>
      <w:tblPr>
        <w:tblStyle w:val="a1"/>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1805"/>
        <w:gridCol w:w="1805"/>
        <w:gridCol w:w="1805"/>
        <w:gridCol w:w="1805"/>
        <w:gridCol w:w="1805"/>
      </w:tblGrid>
      <w:tr w:rsidR="00087C1D" w14:paraId="2FF38243"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2D9BE22" w14:textId="77777777" w:rsidR="00087C1D" w:rsidRDefault="00000000">
            <w:pPr>
              <w:jc w:val="center"/>
            </w:pPr>
            <w:r>
              <w:rPr>
                <w:b/>
                <w:bCs/>
              </w:rPr>
              <w:t>Contact Name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601BA2" w14:textId="77777777" w:rsidR="00087C1D" w:rsidRDefault="00000000">
            <w:pPr>
              <w:jc w:val="center"/>
            </w:pPr>
            <w:r>
              <w:rPr>
                <w:b/>
                <w:bCs/>
              </w:rPr>
              <w:t>Role/Organization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10EFC4" w14:textId="77777777" w:rsidR="00087C1D" w:rsidRDefault="00000000">
            <w:pPr>
              <w:jc w:val="center"/>
            </w:pPr>
            <w:r>
              <w:rPr>
                <w:b/>
                <w:bCs/>
              </w:rPr>
              <w:t>Location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CB0AD7" w14:textId="77777777" w:rsidR="00087C1D" w:rsidRDefault="00000000">
            <w:pPr>
              <w:jc w:val="center"/>
            </w:pPr>
            <w:r>
              <w:rPr>
                <w:b/>
                <w:bCs/>
              </w:rPr>
              <w:t>Relevance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BD5BC" w14:textId="77777777" w:rsidR="00087C1D" w:rsidRDefault="00000000">
            <w:pPr>
              <w:jc w:val="center"/>
            </w:pPr>
            <w:r>
              <w:rPr>
                <w:b/>
                <w:bCs/>
              </w:rPr>
              <w:t>Approach Method</w:t>
            </w:r>
          </w:p>
        </w:tc>
      </w:tr>
      <w:tr w:rsidR="00087C1D" w14:paraId="22EB4294"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D90C93" w14:textId="77777777" w:rsidR="00087C1D" w:rsidRDefault="00000000">
            <w:r>
              <w:t>Andrew Tan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C41AC6" w14:textId="77777777" w:rsidR="00087C1D" w:rsidRDefault="00000000">
            <w:r>
              <w:t>Head APAC Private Debt, Muzinich &amp; Co.</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4400B0" w14:textId="77777777" w:rsidR="00087C1D" w:rsidRDefault="00000000">
            <w:r>
              <w:t>Singapore/HK</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DB22D9" w14:textId="77777777" w:rsidR="00087C1D" w:rsidRDefault="00000000">
            <w:r>
              <w:t>Leads Asia underserved deals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4C089" w14:textId="77777777" w:rsidR="00087C1D" w:rsidRDefault="00000000">
            <w:r>
              <w:t>LinkedIn InMail: Share Task 1 report, propose coffee on HK opportunities.</w:t>
            </w:r>
          </w:p>
        </w:tc>
      </w:tr>
      <w:tr w:rsidR="00087C1D" w14:paraId="738620A7"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65F671" w14:textId="77777777" w:rsidR="00087C1D" w:rsidRDefault="00000000">
            <w:r>
              <w:t>Jens Ernberg</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C1C41" w14:textId="77777777" w:rsidR="00087C1D" w:rsidRDefault="00000000">
            <w:r>
              <w:t>Co-Head US Private Debt (Asia focus), Ares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C49CDD" w14:textId="77777777" w:rsidR="00087C1D" w:rsidRDefault="00000000">
            <w:r>
              <w:t>HK</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2C2AD6B" w14:textId="77777777" w:rsidR="00087C1D" w:rsidRDefault="00000000">
            <w:r>
              <w:t>Mid-market lending expert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3ACBA" w14:textId="77777777" w:rsidR="00087C1D" w:rsidRDefault="00000000">
            <w:r>
              <w:t>Event intro at SuperReturn: Discuss hotel refinancing.</w:t>
            </w:r>
          </w:p>
        </w:tc>
      </w:tr>
      <w:tr w:rsidR="00087C1D" w14:paraId="4759CC5D"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9F92A3" w14:textId="77777777" w:rsidR="00087C1D" w:rsidRDefault="00000000">
            <w:r>
              <w:t>Nick Brooks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C96DAD" w14:textId="77777777" w:rsidR="00087C1D" w:rsidRDefault="00000000">
            <w:r>
              <w:t>Head Research, ICG</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81666E" w14:textId="77777777" w:rsidR="00087C1D" w:rsidRDefault="00000000">
            <w:r>
              <w:t>London (Asia ties)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4368F8" w14:textId="77777777" w:rsidR="00087C1D" w:rsidRDefault="00000000">
            <w:r>
              <w:t>Macro insights for debt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1ED838" w14:textId="77777777" w:rsidR="00087C1D" w:rsidRDefault="00000000">
            <w:r>
              <w:t>Email: nick.brooks@icg.com, reference 2026 outlook for collab.</w:t>
            </w:r>
          </w:p>
        </w:tc>
      </w:tr>
      <w:tr w:rsidR="00087C1D" w14:paraId="28B4BD4D"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01D48A" w14:textId="77777777" w:rsidR="00087C1D" w:rsidRDefault="00000000">
            <w:r>
              <w:t>Emily Bannister</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439A48" w14:textId="77777777" w:rsidR="00087C1D" w:rsidRDefault="00000000">
            <w:r>
              <w:t>Director Private Credit, Wellington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82A86D" w14:textId="77777777" w:rsidR="00087C1D" w:rsidRDefault="00000000">
            <w:r>
              <w:t>Boston (APAC desk)</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44991" w14:textId="77777777" w:rsidR="00087C1D" w:rsidRDefault="00000000">
            <w:r>
              <w:t>Asset-based trends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073623" w14:textId="77777777" w:rsidR="00087C1D" w:rsidRDefault="00000000">
            <w:r>
              <w:t>LinkedIn: Comment on 2026 outlook, request virtual meet.</w:t>
            </w:r>
          </w:p>
        </w:tc>
      </w:tr>
      <w:tr w:rsidR="00087C1D" w14:paraId="3EDDCA04"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CEEB9F" w14:textId="77777777" w:rsidR="00087C1D" w:rsidRDefault="00000000">
            <w:r>
              <w:t>Jeffrey Perlman</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31F286" w14:textId="77777777" w:rsidR="00087C1D" w:rsidRDefault="00000000">
            <w:r>
              <w:t>CEO Asia, Warburg Pincus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1EEA0" w14:textId="77777777" w:rsidR="00087C1D" w:rsidRDefault="00000000">
            <w:r>
              <w:t>HK</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9C31D6" w14:textId="77777777" w:rsidR="00087C1D" w:rsidRDefault="00000000">
            <w:r>
              <w:t>Corporate debt specialist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30C40B" w14:textId="77777777" w:rsidR="00087C1D" w:rsidRDefault="00000000">
            <w:r>
              <w:t>Referral via Task 1 client: Propose joint webinar on valuations.</w:t>
            </w:r>
          </w:p>
        </w:tc>
      </w:tr>
      <w:tr w:rsidR="00087C1D" w14:paraId="37C3A5DD"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BC422" w14:textId="77777777" w:rsidR="00087C1D" w:rsidRDefault="00000000">
            <w:r>
              <w:t>Victor Fung</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C02D89" w14:textId="77777777" w:rsidR="00087C1D" w:rsidRDefault="00000000">
            <w:r>
              <w:t>Managing Director, Fung Family Office</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69FAACC" w14:textId="77777777" w:rsidR="00087C1D" w:rsidRDefault="00000000">
            <w:r>
              <w:t>HK</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83FA2" w14:textId="77777777" w:rsidR="00087C1D" w:rsidRDefault="00000000">
            <w:r>
              <w:t>Real estate debt investor</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5DF66E" w14:textId="77777777" w:rsidR="00087C1D" w:rsidRDefault="00000000">
            <w:r>
              <w:t>Email: fung@liandfung.com, invite to discuss HK hotel deals.</w:t>
            </w:r>
          </w:p>
        </w:tc>
      </w:tr>
      <w:tr w:rsidR="00087C1D" w14:paraId="78738A88" w14:textId="77777777">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BEE932" w14:textId="77777777" w:rsidR="00087C1D" w:rsidRDefault="00000000">
            <w:r>
              <w:t>Li Ka-shing Rep</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05222B" w14:textId="77777777" w:rsidR="00087C1D" w:rsidRDefault="00000000">
            <w:r>
              <w:t>Investment Lead, Horizons Ventures</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FCA0E4" w14:textId="77777777" w:rsidR="00087C1D" w:rsidRDefault="00000000">
            <w:r>
              <w:t>HK</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B5196E" w14:textId="77777777" w:rsidR="00087C1D" w:rsidRDefault="00000000">
            <w:r>
              <w:t>Infrastructure/private credit</w:t>
            </w:r>
          </w:p>
        </w:tc>
        <w:tc>
          <w:tcPr>
            <w:tcW w:w="1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9D5931" w14:textId="77777777" w:rsidR="00087C1D" w:rsidRDefault="00000000">
            <w:r>
              <w:t>LinkedIn: Reference history, pitch brokering role.</w:t>
            </w:r>
          </w:p>
        </w:tc>
      </w:tr>
    </w:tbl>
    <w:p w14:paraId="03968C87" w14:textId="77777777" w:rsidR="00087C1D" w:rsidRDefault="00087C1D"/>
    <w:sectPr w:rsidR="00087C1D">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547F7" w14:textId="77777777" w:rsidR="001D1CF0" w:rsidRDefault="001D1CF0">
      <w:pPr>
        <w:spacing w:line="240" w:lineRule="auto"/>
      </w:pPr>
      <w:r>
        <w:separator/>
      </w:r>
    </w:p>
  </w:endnote>
  <w:endnote w:type="continuationSeparator" w:id="0">
    <w:p w14:paraId="7EFE47A4" w14:textId="77777777" w:rsidR="001D1CF0" w:rsidRDefault="001D1C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546FE" w14:textId="77777777" w:rsidR="001D1CF0" w:rsidRDefault="001D1CF0">
      <w:pPr>
        <w:spacing w:line="240" w:lineRule="auto"/>
      </w:pPr>
      <w:r>
        <w:separator/>
      </w:r>
    </w:p>
  </w:footnote>
  <w:footnote w:type="continuationSeparator" w:id="0">
    <w:p w14:paraId="2EBB0646" w14:textId="77777777" w:rsidR="001D1CF0" w:rsidRDefault="001D1CF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39A8" w14:textId="77777777" w:rsidR="00087C1D" w:rsidRDefault="00087C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C7BF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BB29E5"/>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333607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4B22B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7913953">
    <w:abstractNumId w:val="1"/>
  </w:num>
  <w:num w:numId="2" w16cid:durableId="326590573">
    <w:abstractNumId w:val="3"/>
  </w:num>
  <w:num w:numId="3" w16cid:durableId="1729264771">
    <w:abstractNumId w:val="0"/>
  </w:num>
  <w:num w:numId="4" w16cid:durableId="5771304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7C1D"/>
    <w:rsid w:val="00000438"/>
    <w:rsid w:val="00087C1D"/>
    <w:rsid w:val="001D1CF0"/>
    <w:rsid w:val="00F634B9"/>
  </w:rsids>
  <m:mathPr>
    <m:mathFont m:val="Cambria Math"/>
    <m:brkBin m:val="before"/>
    <m:brkBinSub m:val="--"/>
    <m:smallFrac m:val="0"/>
    <m:dispDef/>
    <m:lMargin m:val="0"/>
    <m:rMargin m:val="0"/>
    <m:defJc m:val="centerGroup"/>
    <m:wrapIndent m:val="1440"/>
    <m:intLim m:val="subSup"/>
    <m:naryLim m:val="undOvr"/>
  </m:mathPr>
  <w:themeFontLang w:val="en-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AAAFD"/>
  <w15:docId w15:val="{81E02125-916B-C042-A80B-FB97ABAF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TW"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1569</Words>
  <Characters>8949</Characters>
  <Application>Microsoft Office Word</Application>
  <DocSecurity>0</DocSecurity>
  <Lines>74</Lines>
  <Paragraphs>20</Paragraphs>
  <ScaleCrop>false</ScaleCrop>
  <Company/>
  <LinksUpToDate>false</LinksUpToDate>
  <CharactersWithSpaces>10498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 Cheuk Him</cp:lastModifiedBy>
  <cp:revision>2</cp:revision>
  <dcterms:created xsi:type="dcterms:W3CDTF">2026-01-31T15:49:00Z</dcterms:created>
  <dcterms:modified xsi:type="dcterms:W3CDTF">2026-01-31T15:50:00Z</dcterms:modified>
</cp:coreProperties>
</file>