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76679B" w:rsidRDefault="0076679B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7B7A3808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DD6194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Lógica matematica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7B7A3808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DD6194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Lógica matematica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7E452381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DD6194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7E452381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DD6194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7651AAC0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DD619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7651AAC0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DD619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5CBA0EB9" w:rsidR="00454F61" w:rsidRPr="00692393" w:rsidRDefault="00454F61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</w:t>
                            </w:r>
                            <w:r w:rsidR="00DD619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5CBA0EB9" w:rsidR="00454F61" w:rsidRPr="00692393" w:rsidRDefault="00454F61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</w:t>
                      </w:r>
                      <w:r w:rsidR="00DD619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5DD10F6E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</w:p>
    <w:p w14:paraId="45EF3D3A" w14:textId="017B1589" w:rsidR="00446D0C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 w:rsidRPr="00DD6194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Tarea.</w:t>
      </w:r>
    </w:p>
    <w:p w14:paraId="651AF125" w14:textId="77777777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448FFB05" w14:textId="6C65256D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Actividad 1; Proposiciones lógicas.</w:t>
      </w:r>
    </w:p>
    <w:p w14:paraId="31889FAB" w14:textId="360B75F5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Para determinar si las frases o enunciados corresponden a </w:t>
      </w:r>
    </w:p>
    <w:p w14:paraId="06532421" w14:textId="6327F3AB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Proposiciones lógicas debemos mostrar si estas expresan una afirmación.</w:t>
      </w:r>
    </w:p>
    <w:p w14:paraId="540EAD3A" w14:textId="77777777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2B4668FD" w14:textId="0E5207D4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Enunciado                                            si/no                        justificación. </w:t>
      </w:r>
    </w:p>
    <w:p w14:paraId="444A908B" w14:textId="3FB51F69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a), Maradona no nació en               </w:t>
      </w:r>
      <w:r w:rsidRPr="00115C2E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>Si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</w:t>
      </w:r>
      <w:r w:rsid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Aquí se expresa un deseo</w:t>
      </w:r>
    </w:p>
    <w:p w14:paraId="474D75BA" w14:textId="09174288" w:rsidR="001800D3" w:rsidRDefault="001800D3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Chile.</w:t>
      </w:r>
      <w:r w:rsid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    No una afirmación que</w:t>
      </w:r>
    </w:p>
    <w:p w14:paraId="1ACC48E5" w14:textId="33EB0798" w:rsidR="001800D3" w:rsidRPr="001800D3" w:rsidRDefault="001800D3" w:rsidP="00DD6194">
      <w:pPr>
        <w:jc w:val="both"/>
        <w:rPr>
          <w:rFonts w:eastAsia="Times New Roman" w:cstheme="minorHAnsi"/>
          <w:i/>
          <w:iCs/>
          <w:color w:val="000000" w:themeColor="text1"/>
          <w:sz w:val="36"/>
          <w:szCs w:val="36"/>
          <w:lang w:eastAsia="es-C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</w:t>
      </w:r>
      <w:r w:rsid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Puede ser verdadera o</w:t>
      </w:r>
    </w:p>
    <w:p w14:paraId="27542BF6" w14:textId="0AC43CBC" w:rsidR="001800D3" w:rsidRDefault="001E5F18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           Falsa.</w:t>
      </w:r>
    </w:p>
    <w:p w14:paraId="24D281B4" w14:textId="6965488B" w:rsidR="001E5F18" w:rsidRDefault="001E5F18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369ABE9C" w14:textId="22E74C88" w:rsidR="001E5F18" w:rsidRDefault="001E5F18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b), Hoy llueve o sale el </w:t>
      </w:r>
    </w:p>
    <w:p w14:paraId="1A8F86F1" w14:textId="18A9BE94" w:rsidR="001E5F18" w:rsidRDefault="001E5F18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sol radiante.                              </w:t>
      </w:r>
      <w:r w:rsidRPr="00115C2E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 xml:space="preserve"> Si      </w:t>
      </w:r>
      <w:r w:rsidR="00673F8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El sujeto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en esta oración es:</w:t>
      </w:r>
    </w:p>
    <w:p w14:paraId="0BF4C709" w14:textId="12BDA73A" w:rsidR="00DD6194" w:rsidRDefault="001E5F18" w:rsidP="00DD6194">
      <w:pPr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       Hoy y el predicado </w:t>
      </w:r>
      <w:r w:rsidR="00673F8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es: llueve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</w:p>
    <w:p w14:paraId="1A54B2F9" w14:textId="021AA407" w:rsidR="00DD6194" w:rsidRPr="00DD6194" w:rsidRDefault="001E5F18" w:rsidP="00DD6194">
      <w:pPr>
        <w:jc w:val="both"/>
        <w:rPr>
          <w:i/>
          <w:iCs/>
          <w:sz w:val="36"/>
          <w:szCs w:val="36"/>
          <w:lang w:eastAsia="es-CL"/>
        </w:rPr>
      </w:pPr>
      <w:r>
        <w:rPr>
          <w:i/>
          <w:iCs/>
          <w:sz w:val="36"/>
          <w:szCs w:val="36"/>
          <w:lang w:eastAsia="es-CL"/>
        </w:rPr>
        <w:t xml:space="preserve">                                                                 O sale el sol radiante, es una</w:t>
      </w:r>
    </w:p>
    <w:p w14:paraId="1F2F5008" w14:textId="77777777" w:rsidR="00673F8F" w:rsidRDefault="001E5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 w:rsidRP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     </w:t>
      </w:r>
      <w:r w:rsidR="00673F8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proposición</w:t>
      </w:r>
      <w:r w:rsidRP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  <w:r w:rsidR="00673F8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compuesta que</w:t>
      </w:r>
      <w:r w:rsidRP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</w:t>
      </w:r>
    </w:p>
    <w:p w14:paraId="1923038B" w14:textId="7C506623" w:rsidR="00673F8F" w:rsidRDefault="00673F8F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lastRenderedPageBreak/>
        <w:t xml:space="preserve">                                                                   puede ser verdadera o falsa</w:t>
      </w:r>
    </w:p>
    <w:p w14:paraId="19B1F81E" w14:textId="77777777" w:rsidR="00673F8F" w:rsidRDefault="00673F8F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</w:p>
    <w:p w14:paraId="17CDA8B6" w14:textId="48476A22" w:rsidR="00673F8F" w:rsidRDefault="00673F8F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c),</w:t>
      </w:r>
      <w:r w:rsidR="00115C2E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Los amigos de lo ajeno      </w:t>
      </w:r>
      <w:r w:rsidR="00115C2E" w:rsidRPr="00115C2E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 xml:space="preserve">No </w:t>
      </w:r>
      <w:r w:rsidR="00115C2E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consiste en una frase incompleta</w:t>
      </w:r>
    </w:p>
    <w:p w14:paraId="35367358" w14:textId="42EFC3CE" w:rsidR="00673F8F" w:rsidRDefault="00115C2E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que no muestra afirmación.</w:t>
      </w:r>
    </w:p>
    <w:p w14:paraId="0946CDC3" w14:textId="59E16069" w:rsidR="00673F8F" w:rsidRDefault="00115C2E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d), Si la garantía es valida</w:t>
      </w:r>
    </w:p>
    <w:p w14:paraId="3881B21C" w14:textId="77777777" w:rsidR="00115C2E" w:rsidRDefault="00115C2E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entonces has comprado tu</w:t>
      </w:r>
    </w:p>
    <w:p w14:paraId="483C5995" w14:textId="67D7CA53" w:rsidR="00115C2E" w:rsidRDefault="00115C2E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equipo hace menos de 90 </w:t>
      </w:r>
      <w:r w:rsidR="007248E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días.      </w:t>
      </w:r>
      <w:r w:rsidR="007248EF" w:rsidRPr="007248EF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>Si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</w:t>
      </w:r>
      <w:r w:rsidR="007248E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</w:t>
      </w:r>
      <w:r w:rsidR="007248EF">
        <w:rPr>
          <w:rFonts w:eastAsia="Times New Roman" w:cstheme="minorHAnsi"/>
          <w:i/>
          <w:iCs/>
          <w:sz w:val="36"/>
          <w:szCs w:val="36"/>
          <w:lang w:eastAsia="es-CL"/>
        </w:rPr>
        <w:t xml:space="preserve">La garantía es el sujeto y </w:t>
      </w: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</w:t>
      </w:r>
    </w:p>
    <w:p w14:paraId="6144E2E7" w14:textId="4240E345" w:rsidR="00911B85" w:rsidRDefault="001E5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</w:pPr>
      <w:r w:rsidRPr="001E5F18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</w:t>
      </w:r>
      <w:r w:rsidR="007248EF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el Predicado es:” valida”</w:t>
      </w:r>
    </w:p>
    <w:p w14:paraId="240AAF7D" w14:textId="5EC306FB" w:rsidR="00706AC4" w:rsidRDefault="007248EF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 xml:space="preserve">                                                                   es una proposición con</w:t>
      </w:r>
      <w:r w:rsidR="0099715B">
        <w:rPr>
          <w:rFonts w:eastAsia="Times New Roman" w:cstheme="minorHAnsi"/>
          <w:i/>
          <w:iCs/>
          <w:color w:val="000000"/>
          <w:sz w:val="36"/>
          <w:szCs w:val="36"/>
          <w:lang w:eastAsia="es-CL"/>
        </w:rPr>
        <w:t>-</w:t>
      </w:r>
    </w:p>
    <w:p w14:paraId="52FECD8A" w14:textId="0FB6954C" w:rsidR="0099715B" w:rsidRDefault="0099715B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                                                         dicional , puede ser falsa o</w:t>
      </w:r>
    </w:p>
    <w:p w14:paraId="5237C571" w14:textId="6EB33002" w:rsidR="0099715B" w:rsidRDefault="0099715B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                                                        verdadera.</w:t>
      </w:r>
    </w:p>
    <w:p w14:paraId="6C233701" w14:textId="77777777" w:rsidR="0099715B" w:rsidRDefault="0099715B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</w:p>
    <w:p w14:paraId="4F08B4E0" w14:textId="0563971E" w:rsidR="0099715B" w:rsidRPr="00D9424C" w:rsidRDefault="0099715B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>e), Quince es un numero</w:t>
      </w:r>
      <w:r w:rsidR="00D9424C">
        <w:rPr>
          <w:rFonts w:eastAsia="Times New Roman" w:cstheme="minorHAnsi"/>
          <w:i/>
          <w:iCs/>
          <w:sz w:val="36"/>
          <w:szCs w:val="36"/>
          <w:lang w:eastAsia="es-CL"/>
        </w:rPr>
        <w:t xml:space="preserve"> par</w:t>
      </w: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</w:t>
      </w:r>
      <w:r w:rsidRPr="0099715B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>Si</w:t>
      </w:r>
      <w:r w:rsidR="00D9424C"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Quince es el sujeto y el  </w:t>
      </w:r>
    </w:p>
    <w:p w14:paraId="3FCD28E2" w14:textId="46FE545D" w:rsidR="0099715B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                                                     predicado es un numero par</w:t>
      </w:r>
    </w:p>
    <w:p w14:paraId="18C36352" w14:textId="4C459D17" w:rsidR="00D9424C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                                                 puede ser una afirmación</w:t>
      </w:r>
    </w:p>
    <w:p w14:paraId="11874F6A" w14:textId="5867C9DE" w:rsidR="00D9424C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                                                              verdadera o falsa</w:t>
      </w:r>
    </w:p>
    <w:p w14:paraId="55278DB5" w14:textId="77777777" w:rsidR="00D9424C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</w:p>
    <w:p w14:paraId="2C18C81F" w14:textId="1B07B33A" w:rsidR="00D9424C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 xml:space="preserve">f), Los peces son acuáticos puesto que respiran por branquias.      </w:t>
      </w:r>
      <w:r w:rsidRPr="00D9424C">
        <w:rPr>
          <w:rFonts w:eastAsia="Times New Roman" w:cstheme="minorHAnsi"/>
          <w:i/>
          <w:iCs/>
          <w:color w:val="FF0000"/>
          <w:sz w:val="36"/>
          <w:szCs w:val="36"/>
          <w:lang w:eastAsia="es-CL"/>
        </w:rPr>
        <w:t>Si</w:t>
      </w:r>
    </w:p>
    <w:p w14:paraId="7E25DB6C" w14:textId="4AB6A71B" w:rsidR="00D9424C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lastRenderedPageBreak/>
        <w:t>El sujeto es: los peces y el predicado es: son acuáticos puesto que respiran por branquias. Esta afirmación puede ser verdadera o falsa.</w:t>
      </w:r>
    </w:p>
    <w:p w14:paraId="1087849F" w14:textId="0E9A86BF" w:rsidR="00D9424C" w:rsidRPr="00D9424C" w:rsidRDefault="00B00F4D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  <w:r>
        <w:rPr>
          <w:rFonts w:eastAsia="Times New Roman" w:cstheme="minorHAnsi"/>
          <w:i/>
          <w:iCs/>
          <w:sz w:val="36"/>
          <w:szCs w:val="36"/>
          <w:lang w:eastAsia="es-CL"/>
        </w:rPr>
        <w:t>Actividad 2;</w:t>
      </w:r>
    </w:p>
    <w:p w14:paraId="0BBF7D58" w14:textId="77777777" w:rsidR="00D9424C" w:rsidRPr="0099715B" w:rsidRDefault="00D9424C" w:rsidP="007248EF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sz w:val="36"/>
          <w:szCs w:val="36"/>
          <w:lang w:eastAsia="es-CL"/>
        </w:rPr>
      </w:pPr>
    </w:p>
    <w:p w14:paraId="5588F0AB" w14:textId="25039655" w:rsidR="001D1EC1" w:rsidRPr="00BE0351" w:rsidRDefault="0099715B" w:rsidP="00BE035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            </w:t>
      </w: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lastRenderedPageBreak/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Wagensberg,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mapudungún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0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r w:rsidRPr="00FD4553">
        <w:rPr>
          <w:rStyle w:val="Hipervnculo"/>
          <w:iCs/>
          <w:lang w:eastAsia="es-CL"/>
        </w:rPr>
        <w:t>conservacion-y-gestion-de-especies/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1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2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1DEF0" w14:textId="77777777" w:rsidR="00EB0CE2" w:rsidRDefault="00EB0CE2" w:rsidP="00C77D7D">
      <w:pPr>
        <w:spacing w:after="0" w:line="240" w:lineRule="auto"/>
      </w:pPr>
      <w:r>
        <w:separator/>
      </w:r>
    </w:p>
  </w:endnote>
  <w:endnote w:type="continuationSeparator" w:id="0">
    <w:p w14:paraId="315D3E93" w14:textId="77777777" w:rsidR="00EB0CE2" w:rsidRDefault="00EB0CE2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181D9" w14:textId="77777777" w:rsidR="00EB0CE2" w:rsidRDefault="00EB0CE2" w:rsidP="00C77D7D">
      <w:pPr>
        <w:spacing w:after="0" w:line="240" w:lineRule="auto"/>
      </w:pPr>
      <w:r>
        <w:separator/>
      </w:r>
    </w:p>
  </w:footnote>
  <w:footnote w:type="continuationSeparator" w:id="0">
    <w:p w14:paraId="2AF5054C" w14:textId="77777777" w:rsidR="00EB0CE2" w:rsidRDefault="00EB0CE2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55964"/>
    <w:rsid w:val="00093C28"/>
    <w:rsid w:val="000F4DC0"/>
    <w:rsid w:val="001012F8"/>
    <w:rsid w:val="00115C2E"/>
    <w:rsid w:val="001421CE"/>
    <w:rsid w:val="001800D3"/>
    <w:rsid w:val="001D1EC1"/>
    <w:rsid w:val="001E5F18"/>
    <w:rsid w:val="002410BF"/>
    <w:rsid w:val="002A3E7A"/>
    <w:rsid w:val="00343751"/>
    <w:rsid w:val="0038234A"/>
    <w:rsid w:val="003C74CF"/>
    <w:rsid w:val="003D778D"/>
    <w:rsid w:val="003E62FC"/>
    <w:rsid w:val="00446D0C"/>
    <w:rsid w:val="00454F61"/>
    <w:rsid w:val="0048512E"/>
    <w:rsid w:val="00497CF8"/>
    <w:rsid w:val="005129B8"/>
    <w:rsid w:val="005350E1"/>
    <w:rsid w:val="0056108E"/>
    <w:rsid w:val="00580B60"/>
    <w:rsid w:val="005955D2"/>
    <w:rsid w:val="005E147C"/>
    <w:rsid w:val="005F18B5"/>
    <w:rsid w:val="00673F8F"/>
    <w:rsid w:val="00677B24"/>
    <w:rsid w:val="00692393"/>
    <w:rsid w:val="006E562B"/>
    <w:rsid w:val="00706AC4"/>
    <w:rsid w:val="007248EF"/>
    <w:rsid w:val="0076679B"/>
    <w:rsid w:val="00792BE9"/>
    <w:rsid w:val="007F5981"/>
    <w:rsid w:val="00806EFB"/>
    <w:rsid w:val="00885D57"/>
    <w:rsid w:val="00911B85"/>
    <w:rsid w:val="0099715B"/>
    <w:rsid w:val="009A3FCB"/>
    <w:rsid w:val="009A606D"/>
    <w:rsid w:val="00A2703B"/>
    <w:rsid w:val="00A65E3A"/>
    <w:rsid w:val="00A8277A"/>
    <w:rsid w:val="00AE4F2D"/>
    <w:rsid w:val="00B00F4D"/>
    <w:rsid w:val="00B07F97"/>
    <w:rsid w:val="00B85699"/>
    <w:rsid w:val="00BE0351"/>
    <w:rsid w:val="00C77D7D"/>
    <w:rsid w:val="00C82F88"/>
    <w:rsid w:val="00D9424C"/>
    <w:rsid w:val="00DD6194"/>
    <w:rsid w:val="00EB0CE2"/>
    <w:rsid w:val="00F81706"/>
    <w:rsid w:val="00F92036"/>
    <w:rsid w:val="00FA285D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CF0DA278-4079-4F55-BCB9-80CE590B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eychile.cl/Navegar?idNorma=30667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x.doi.org/10.4067/S0718-4883201200010000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3</cp:revision>
  <dcterms:created xsi:type="dcterms:W3CDTF">2024-08-19T00:00:00Z</dcterms:created>
  <dcterms:modified xsi:type="dcterms:W3CDTF">2024-08-20T00:11:00Z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