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2988"/>
        <w:gridCol w:w="3857"/>
        <w:gridCol w:w="4193"/>
      </w:tblGrid>
      <w:tr w:rsidR="00926A30" w:rsidRPr="00926A30" w14:paraId="7D95A315" w14:textId="77777777" w:rsidTr="0092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65147" w14:textId="77777777" w:rsidR="00926A30" w:rsidRPr="00926A30" w:rsidRDefault="00926A30" w:rsidP="00926A30">
            <w:pPr>
              <w:rPr>
                <w:b/>
                <w:bCs/>
                <w:sz w:val="17"/>
                <w:szCs w:val="17"/>
              </w:rPr>
            </w:pPr>
            <w:r w:rsidRPr="00926A30">
              <w:rPr>
                <w:b/>
                <w:bCs/>
                <w:sz w:val="17"/>
                <w:szCs w:val="17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21A8C804" w14:textId="77777777" w:rsidR="00926A30" w:rsidRPr="00926A30" w:rsidRDefault="00926A30" w:rsidP="00926A30">
            <w:pPr>
              <w:rPr>
                <w:b/>
                <w:bCs/>
                <w:sz w:val="17"/>
                <w:szCs w:val="17"/>
              </w:rPr>
            </w:pPr>
            <w:r w:rsidRPr="00926A30">
              <w:rPr>
                <w:b/>
                <w:bCs/>
                <w:sz w:val="17"/>
                <w:szCs w:val="17"/>
              </w:rPr>
              <w:t>Main source of information for the shocks</w:t>
            </w:r>
          </w:p>
        </w:tc>
        <w:tc>
          <w:tcPr>
            <w:tcW w:w="0" w:type="auto"/>
            <w:vAlign w:val="center"/>
            <w:hideMark/>
          </w:tcPr>
          <w:p w14:paraId="630E1645" w14:textId="77777777" w:rsidR="00926A30" w:rsidRPr="00926A30" w:rsidRDefault="00926A30" w:rsidP="00926A30">
            <w:pPr>
              <w:rPr>
                <w:b/>
                <w:bCs/>
                <w:sz w:val="17"/>
                <w:szCs w:val="17"/>
              </w:rPr>
            </w:pPr>
            <w:r w:rsidRPr="00926A30">
              <w:rPr>
                <w:b/>
                <w:bCs/>
                <w:sz w:val="17"/>
                <w:szCs w:val="17"/>
              </w:rPr>
              <w:t>Detailed methodology</w:t>
            </w:r>
          </w:p>
        </w:tc>
        <w:tc>
          <w:tcPr>
            <w:tcW w:w="0" w:type="auto"/>
            <w:vAlign w:val="center"/>
            <w:hideMark/>
          </w:tcPr>
          <w:p w14:paraId="2E794696" w14:textId="77777777" w:rsidR="00926A30" w:rsidRPr="00926A30" w:rsidRDefault="00926A30" w:rsidP="00926A30">
            <w:pPr>
              <w:rPr>
                <w:b/>
                <w:bCs/>
                <w:sz w:val="17"/>
                <w:szCs w:val="17"/>
              </w:rPr>
            </w:pPr>
            <w:r w:rsidRPr="00926A30">
              <w:rPr>
                <w:b/>
                <w:bCs/>
                <w:sz w:val="17"/>
                <w:szCs w:val="17"/>
              </w:rPr>
              <w:t>Main results of impulse responses</w:t>
            </w:r>
          </w:p>
        </w:tc>
      </w:tr>
      <w:tr w:rsidR="00926A30" w:rsidRPr="00926A30" w14:paraId="497D07CE" w14:textId="77777777" w:rsidTr="0092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5E7A" w14:textId="77777777" w:rsidR="00926A30" w:rsidRPr="00926A30" w:rsidRDefault="00926A30" w:rsidP="00926A30">
            <w:pPr>
              <w:rPr>
                <w:sz w:val="17"/>
                <w:szCs w:val="17"/>
              </w:rPr>
            </w:pPr>
            <w:r w:rsidRPr="00926A30">
              <w:rPr>
                <w:b/>
                <w:bCs/>
                <w:sz w:val="17"/>
                <w:szCs w:val="17"/>
              </w:rPr>
              <w:t>Checo, Grigoli &amp; Sandri (2024), “Monetary Policy Transmission in Emerging Markets: Proverbial Concerns, Novel Evidence” (IMF WP/24/93)</w:t>
            </w:r>
          </w:p>
        </w:tc>
        <w:tc>
          <w:tcPr>
            <w:tcW w:w="0" w:type="auto"/>
            <w:vAlign w:val="center"/>
            <w:hideMark/>
          </w:tcPr>
          <w:p w14:paraId="069B6649" w14:textId="77777777" w:rsidR="00926A30" w:rsidRPr="00926A30" w:rsidRDefault="00926A30" w:rsidP="00926A30">
            <w:pPr>
              <w:rPr>
                <w:sz w:val="17"/>
                <w:szCs w:val="17"/>
              </w:rPr>
            </w:pPr>
            <w:r w:rsidRPr="00926A30">
              <w:rPr>
                <w:b/>
                <w:bCs/>
                <w:sz w:val="17"/>
                <w:szCs w:val="17"/>
              </w:rPr>
              <w:t>Surveys / expectations data:</w:t>
            </w:r>
            <w:r w:rsidRPr="00926A30">
              <w:rPr>
                <w:sz w:val="17"/>
                <w:szCs w:val="17"/>
              </w:rPr>
              <w:t xml:space="preserve"> </w:t>
            </w:r>
            <w:r w:rsidRPr="00926A30">
              <w:rPr>
                <w:i/>
                <w:iCs/>
                <w:sz w:val="17"/>
                <w:szCs w:val="17"/>
              </w:rPr>
              <w:t>Bloomberg</w:t>
            </w:r>
            <w:r w:rsidRPr="00926A30">
              <w:rPr>
                <w:sz w:val="17"/>
                <w:szCs w:val="17"/>
              </w:rPr>
              <w:t xml:space="preserve"> analysts’ forecasts of policy-rate decisions (forecasts can be revised up to the meeting).</w:t>
            </w:r>
          </w:p>
        </w:tc>
        <w:tc>
          <w:tcPr>
            <w:tcW w:w="0" w:type="auto"/>
            <w:vAlign w:val="center"/>
            <w:hideMark/>
          </w:tcPr>
          <w:p w14:paraId="12AFAAA8" w14:textId="77777777" w:rsidR="00926A30" w:rsidRPr="00926A30" w:rsidRDefault="00926A30" w:rsidP="00926A30">
            <w:pPr>
              <w:rPr>
                <w:sz w:val="17"/>
                <w:szCs w:val="17"/>
              </w:rPr>
            </w:pPr>
            <w:r w:rsidRPr="00926A30">
              <w:rPr>
                <w:sz w:val="17"/>
                <w:szCs w:val="17"/>
              </w:rPr>
              <w:t xml:space="preserve">1) Build meeting-level </w:t>
            </w:r>
            <w:r w:rsidRPr="00926A30">
              <w:rPr>
                <w:b/>
                <w:bCs/>
                <w:sz w:val="17"/>
                <w:szCs w:val="17"/>
              </w:rPr>
              <w:t>forecast errors</w:t>
            </w:r>
            <w:r w:rsidRPr="00926A30">
              <w:rPr>
                <w:sz w:val="17"/>
                <w:szCs w:val="17"/>
              </w:rPr>
              <w:t xml:space="preserve"> from Bloomberg policy-rate forecasts to mimic “high-frequency surprises,” leveraging the fact forecasts can be updated until the meeting (so they should embed incoming data). 2) </w:t>
            </w:r>
            <w:r w:rsidRPr="00926A30">
              <w:rPr>
                <w:b/>
                <w:bCs/>
                <w:sz w:val="17"/>
                <w:szCs w:val="17"/>
              </w:rPr>
              <w:t>Orthogonalize</w:t>
            </w:r>
            <w:r w:rsidRPr="00926A30">
              <w:rPr>
                <w:sz w:val="17"/>
                <w:szCs w:val="17"/>
              </w:rPr>
              <w:t xml:space="preserve"> the surprises by regressing them on a “rich set” of pre-meeting macro + financial variables (inflation, activity, unemployment, FX, stocks, expectations, etc.) and take the residual as the monetary policy shock. 3) Convert to monthly frequency and estimate </w:t>
            </w:r>
            <w:r w:rsidRPr="00926A30">
              <w:rPr>
                <w:b/>
                <w:bCs/>
                <w:sz w:val="17"/>
                <w:szCs w:val="17"/>
              </w:rPr>
              <w:t>panel local projections</w:t>
            </w:r>
            <w:r w:rsidRPr="00926A30">
              <w:rPr>
                <w:sz w:val="17"/>
                <w:szCs w:val="17"/>
              </w:rPr>
              <w:t xml:space="preserve"> with country + time fixed effects (time FE crucial to absorb global shocks). 4) Robustness: treat the shocks as </w:t>
            </w:r>
            <w:r w:rsidRPr="00926A30">
              <w:rPr>
                <w:b/>
                <w:bCs/>
                <w:sz w:val="17"/>
                <w:szCs w:val="17"/>
              </w:rPr>
              <w:t>external instruments</w:t>
            </w:r>
            <w:r w:rsidRPr="00926A30">
              <w:rPr>
                <w:sz w:val="17"/>
                <w:szCs w:val="17"/>
              </w:rPr>
              <w:t xml:space="preserve"> for 1-year yields in an IV/local-projection setup.</w:t>
            </w:r>
          </w:p>
        </w:tc>
        <w:tc>
          <w:tcPr>
            <w:tcW w:w="0" w:type="auto"/>
            <w:vAlign w:val="center"/>
            <w:hideMark/>
          </w:tcPr>
          <w:p w14:paraId="7832A1FB" w14:textId="77777777" w:rsidR="00926A30" w:rsidRPr="00926A30" w:rsidRDefault="00926A30" w:rsidP="00926A30">
            <w:pPr>
              <w:rPr>
                <w:sz w:val="17"/>
                <w:szCs w:val="17"/>
              </w:rPr>
            </w:pPr>
            <w:r w:rsidRPr="00926A30">
              <w:rPr>
                <w:sz w:val="17"/>
                <w:szCs w:val="17"/>
              </w:rPr>
              <w:t xml:space="preserve">Contractionary shock (scaled to raise 1-year yields by 1pp) → </w:t>
            </w:r>
            <w:r w:rsidRPr="00926A30">
              <w:rPr>
                <w:b/>
                <w:bCs/>
                <w:sz w:val="17"/>
                <w:szCs w:val="17"/>
              </w:rPr>
              <w:t>bond yields stay elevated ~9 months</w:t>
            </w:r>
            <w:r w:rsidRPr="00926A30">
              <w:rPr>
                <w:sz w:val="17"/>
                <w:szCs w:val="17"/>
              </w:rPr>
              <w:t xml:space="preserve">, </w:t>
            </w:r>
            <w:r w:rsidRPr="00926A30">
              <w:rPr>
                <w:b/>
                <w:bCs/>
                <w:sz w:val="17"/>
                <w:szCs w:val="17"/>
              </w:rPr>
              <w:t>industrial production falls &gt;2% (peak ~8 months)</w:t>
            </w:r>
            <w:r w:rsidRPr="00926A30">
              <w:rPr>
                <w:sz w:val="17"/>
                <w:szCs w:val="17"/>
              </w:rPr>
              <w:t xml:space="preserve">, </w:t>
            </w:r>
            <w:r w:rsidRPr="00926A30">
              <w:rPr>
                <w:b/>
                <w:bCs/>
                <w:sz w:val="17"/>
                <w:szCs w:val="17"/>
              </w:rPr>
              <w:t>unemployment rises ~0.5pp</w:t>
            </w:r>
            <w:r w:rsidRPr="00926A30">
              <w:rPr>
                <w:sz w:val="17"/>
                <w:szCs w:val="17"/>
              </w:rPr>
              <w:t xml:space="preserve">, </w:t>
            </w:r>
            <w:r w:rsidRPr="00926A30">
              <w:rPr>
                <w:b/>
                <w:bCs/>
                <w:sz w:val="17"/>
                <w:szCs w:val="17"/>
              </w:rPr>
              <w:t>PPI declines starting ~6 months (eventually ~6%)</w:t>
            </w:r>
            <w:r w:rsidRPr="00926A30">
              <w:rPr>
                <w:sz w:val="17"/>
                <w:szCs w:val="17"/>
              </w:rPr>
              <w:t xml:space="preserve">, </w:t>
            </w:r>
            <w:r w:rsidRPr="00926A30">
              <w:rPr>
                <w:b/>
                <w:bCs/>
                <w:sz w:val="17"/>
                <w:szCs w:val="17"/>
              </w:rPr>
              <w:t>core CPI declines (cumulative ~2%)</w:t>
            </w:r>
            <w:r w:rsidRPr="00926A30">
              <w:rPr>
                <w:sz w:val="17"/>
                <w:szCs w:val="17"/>
              </w:rPr>
              <w:t xml:space="preserve">, </w:t>
            </w:r>
            <w:r w:rsidRPr="00926A30">
              <w:rPr>
                <w:b/>
                <w:bCs/>
                <w:sz w:val="17"/>
                <w:szCs w:val="17"/>
              </w:rPr>
              <w:t>headline CPI declines with a longer lag (~1 year)</w:t>
            </w:r>
            <w:r w:rsidRPr="00926A30">
              <w:rPr>
                <w:sz w:val="17"/>
                <w:szCs w:val="17"/>
              </w:rPr>
              <w:t>. Their headline conclusion: EM transmission “operates similarly to AEs,” with tightening raising yields, lowering activity, and reducing inflation with delay.</w:t>
            </w:r>
          </w:p>
        </w:tc>
      </w:tr>
      <w:tr w:rsidR="00926A30" w:rsidRPr="00926A30" w14:paraId="3B681D3B" w14:textId="77777777" w:rsidTr="0092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139C8" w14:textId="77777777" w:rsidR="00926A30" w:rsidRPr="00926A30" w:rsidRDefault="00926A30" w:rsidP="00926A30">
            <w:pPr>
              <w:rPr>
                <w:sz w:val="17"/>
                <w:szCs w:val="17"/>
              </w:rPr>
            </w:pPr>
            <w:proofErr w:type="spellStart"/>
            <w:r w:rsidRPr="00926A30">
              <w:rPr>
                <w:b/>
                <w:bCs/>
                <w:sz w:val="17"/>
                <w:szCs w:val="17"/>
              </w:rPr>
              <w:t>Pirozhkova</w:t>
            </w:r>
            <w:proofErr w:type="spellEnd"/>
            <w:r w:rsidRPr="00926A30">
              <w:rPr>
                <w:b/>
                <w:bCs/>
                <w:sz w:val="17"/>
                <w:szCs w:val="17"/>
              </w:rPr>
              <w:t xml:space="preserve">, Ricco &amp; </w:t>
            </w:r>
            <w:proofErr w:type="spellStart"/>
            <w:r w:rsidRPr="00926A30">
              <w:rPr>
                <w:b/>
                <w:bCs/>
                <w:sz w:val="17"/>
                <w:szCs w:val="17"/>
              </w:rPr>
              <w:t>Viegi</w:t>
            </w:r>
            <w:proofErr w:type="spellEnd"/>
            <w:r w:rsidRPr="00926A30">
              <w:rPr>
                <w:b/>
                <w:bCs/>
                <w:sz w:val="17"/>
                <w:szCs w:val="17"/>
              </w:rPr>
              <w:t xml:space="preserve"> (this version 13 Nov 2024), “Trouble Every Day: Monetary Policy in an Open Emerging Economy” (South Africa)</w:t>
            </w:r>
          </w:p>
        </w:tc>
        <w:tc>
          <w:tcPr>
            <w:tcW w:w="0" w:type="auto"/>
            <w:vAlign w:val="center"/>
            <w:hideMark/>
          </w:tcPr>
          <w:p w14:paraId="3032A698" w14:textId="77777777" w:rsidR="00926A30" w:rsidRPr="00926A30" w:rsidRDefault="00926A30" w:rsidP="00926A30">
            <w:pPr>
              <w:rPr>
                <w:sz w:val="17"/>
                <w:szCs w:val="17"/>
              </w:rPr>
            </w:pPr>
            <w:r w:rsidRPr="00926A30">
              <w:rPr>
                <w:b/>
                <w:bCs/>
                <w:sz w:val="17"/>
                <w:szCs w:val="17"/>
              </w:rPr>
              <w:t>Financial instruments / derivatives:</w:t>
            </w:r>
            <w:r w:rsidRPr="00926A30">
              <w:rPr>
                <w:sz w:val="17"/>
                <w:szCs w:val="17"/>
              </w:rPr>
              <w:t xml:space="preserve"> daily revisions around SARB MPC announcements in </w:t>
            </w:r>
            <w:r w:rsidRPr="00926A30">
              <w:rPr>
                <w:b/>
                <w:bCs/>
                <w:sz w:val="17"/>
                <w:szCs w:val="17"/>
              </w:rPr>
              <w:t>JIBAR-based FRAs + interest-rate swaps (out to 10Y)</w:t>
            </w:r>
            <w:r w:rsidRPr="00926A30">
              <w:rPr>
                <w:sz w:val="17"/>
                <w:szCs w:val="17"/>
              </w:rPr>
              <w:t xml:space="preserve"> and </w:t>
            </w:r>
            <w:r w:rsidRPr="00926A30">
              <w:rPr>
                <w:b/>
                <w:bCs/>
                <w:sz w:val="17"/>
                <w:szCs w:val="17"/>
              </w:rPr>
              <w:t>5Y sovereign CDS</w:t>
            </w:r>
            <w:r w:rsidRPr="00926A30">
              <w:rPr>
                <w:sz w:val="17"/>
                <w:szCs w:val="17"/>
              </w:rPr>
              <w:t xml:space="preserve"> as risk proxy. </w:t>
            </w:r>
            <w:r w:rsidRPr="00926A30">
              <w:rPr>
                <w:b/>
                <w:bCs/>
                <w:sz w:val="17"/>
                <w:szCs w:val="17"/>
              </w:rPr>
              <w:t>Central-bank projections:</w:t>
            </w:r>
            <w:r w:rsidRPr="00926A30">
              <w:rPr>
                <w:sz w:val="17"/>
                <w:szCs w:val="17"/>
              </w:rPr>
              <w:t xml:space="preserve"> SARB GDP/CPI forecasts and forecast revisions used to purge information effects.</w:t>
            </w:r>
          </w:p>
        </w:tc>
        <w:tc>
          <w:tcPr>
            <w:tcW w:w="0" w:type="auto"/>
            <w:vAlign w:val="center"/>
            <w:hideMark/>
          </w:tcPr>
          <w:p w14:paraId="222DCF24" w14:textId="77777777" w:rsidR="00926A30" w:rsidRPr="00926A30" w:rsidRDefault="00926A30" w:rsidP="00926A30">
            <w:pPr>
              <w:rPr>
                <w:sz w:val="17"/>
                <w:szCs w:val="17"/>
              </w:rPr>
            </w:pPr>
            <w:r w:rsidRPr="00926A30">
              <w:rPr>
                <w:sz w:val="17"/>
                <w:szCs w:val="17"/>
              </w:rPr>
              <w:t xml:space="preserve">1) Construct high-frequency surprises from daily changes in derivatives and CDS around MPC announcements; treat the system as a </w:t>
            </w:r>
            <w:r w:rsidRPr="00926A30">
              <w:rPr>
                <w:b/>
                <w:bCs/>
                <w:sz w:val="17"/>
                <w:szCs w:val="17"/>
              </w:rPr>
              <w:t>factor structure</w:t>
            </w:r>
            <w:r w:rsidRPr="00926A30">
              <w:rPr>
                <w:sz w:val="17"/>
                <w:szCs w:val="17"/>
              </w:rPr>
              <w:t xml:space="preserve"> and extract common components with </w:t>
            </w:r>
            <w:r w:rsidRPr="00926A30">
              <w:rPr>
                <w:b/>
                <w:bCs/>
                <w:sz w:val="17"/>
                <w:szCs w:val="17"/>
              </w:rPr>
              <w:t>PCA</w:t>
            </w:r>
            <w:r w:rsidRPr="00926A30">
              <w:rPr>
                <w:sz w:val="17"/>
                <w:szCs w:val="17"/>
              </w:rPr>
              <w:t xml:space="preserve"> (4 factors; first four PCs explain ~95.6% of variation). 2) </w:t>
            </w:r>
            <w:r w:rsidRPr="00926A30">
              <w:rPr>
                <w:b/>
                <w:bCs/>
                <w:sz w:val="17"/>
                <w:szCs w:val="17"/>
              </w:rPr>
              <w:t>Rotate/identify</w:t>
            </w:r>
            <w:r w:rsidRPr="00926A30">
              <w:rPr>
                <w:sz w:val="17"/>
                <w:szCs w:val="17"/>
              </w:rPr>
              <w:t xml:space="preserve"> factors with economic restrictions to label distinct “dimensions”: short-term/target (loads on 3M </w:t>
            </w:r>
            <w:proofErr w:type="spellStart"/>
            <w:r w:rsidRPr="00926A30">
              <w:rPr>
                <w:sz w:val="17"/>
                <w:szCs w:val="17"/>
              </w:rPr>
              <w:t>Jibar</w:t>
            </w:r>
            <w:proofErr w:type="spellEnd"/>
            <w:r w:rsidRPr="00926A30">
              <w:rPr>
                <w:sz w:val="17"/>
                <w:szCs w:val="17"/>
              </w:rPr>
              <w:t xml:space="preserve">), medium-term (restricted at long end), term-premium (restricted to exclude CDS), and country-risk (chosen to maximize CDS-loading), with orthogonality and normalization. 3) Remove the </w:t>
            </w:r>
            <w:r w:rsidRPr="00926A30">
              <w:rPr>
                <w:b/>
                <w:bCs/>
                <w:sz w:val="17"/>
                <w:szCs w:val="17"/>
              </w:rPr>
              <w:t>information channel</w:t>
            </w:r>
            <w:r w:rsidRPr="00926A30">
              <w:rPr>
                <w:sz w:val="17"/>
                <w:szCs w:val="17"/>
              </w:rPr>
              <w:t xml:space="preserve"> (policy decision + simultaneous disclosure of projections) by regressing each factor on SARB real-time forecasts and forecast revisions for GDP growth and CPI inflation; </w:t>
            </w:r>
            <w:r w:rsidRPr="00926A30">
              <w:rPr>
                <w:b/>
                <w:bCs/>
                <w:sz w:val="17"/>
                <w:szCs w:val="17"/>
              </w:rPr>
              <w:t>residuals (MP1–MP4)</w:t>
            </w:r>
            <w:r w:rsidRPr="00926A30">
              <w:rPr>
                <w:sz w:val="17"/>
                <w:szCs w:val="17"/>
              </w:rPr>
              <w:t xml:space="preserve"> are “informationally robust.” 4) Build monthly </w:t>
            </w:r>
            <w:r w:rsidRPr="00926A30">
              <w:rPr>
                <w:b/>
                <w:bCs/>
                <w:sz w:val="17"/>
                <w:szCs w:val="17"/>
              </w:rPr>
              <w:t>external instruments (IVs)</w:t>
            </w:r>
            <w:r w:rsidRPr="00926A30">
              <w:rPr>
                <w:sz w:val="17"/>
                <w:szCs w:val="17"/>
              </w:rPr>
              <w:t xml:space="preserve"> from these residuals and use </w:t>
            </w:r>
            <w:r w:rsidRPr="00926A30">
              <w:rPr>
                <w:sz w:val="17"/>
                <w:szCs w:val="17"/>
              </w:rPr>
              <w:lastRenderedPageBreak/>
              <w:t xml:space="preserve">them in a medium-scale </w:t>
            </w:r>
            <w:r w:rsidRPr="00926A30">
              <w:rPr>
                <w:b/>
                <w:bCs/>
                <w:sz w:val="17"/>
                <w:szCs w:val="17"/>
              </w:rPr>
              <w:t>SVAR with external instruments</w:t>
            </w:r>
            <w:r w:rsidRPr="00926A30">
              <w:rPr>
                <w:sz w:val="17"/>
                <w:szCs w:val="17"/>
              </w:rPr>
              <w:t xml:space="preserve"> to estimate dynamic effects.</w:t>
            </w:r>
          </w:p>
        </w:tc>
        <w:tc>
          <w:tcPr>
            <w:tcW w:w="0" w:type="auto"/>
            <w:vAlign w:val="center"/>
            <w:hideMark/>
          </w:tcPr>
          <w:p w14:paraId="52705B37" w14:textId="77777777" w:rsidR="00926A30" w:rsidRPr="00926A30" w:rsidRDefault="00926A30" w:rsidP="00926A30">
            <w:pPr>
              <w:rPr>
                <w:sz w:val="17"/>
                <w:szCs w:val="17"/>
              </w:rPr>
            </w:pPr>
            <w:r w:rsidRPr="00926A30">
              <w:rPr>
                <w:b/>
                <w:bCs/>
                <w:sz w:val="17"/>
                <w:szCs w:val="17"/>
              </w:rPr>
              <w:lastRenderedPageBreak/>
              <w:t>Conventional tightening</w:t>
            </w:r>
            <w:r w:rsidRPr="00926A30">
              <w:rPr>
                <w:sz w:val="17"/>
                <w:szCs w:val="17"/>
              </w:rPr>
              <w:t xml:space="preserve">: “textbook contractionary effects”—short end rises more than long end; </w:t>
            </w:r>
            <w:r w:rsidRPr="00926A30">
              <w:rPr>
                <w:b/>
                <w:bCs/>
                <w:sz w:val="17"/>
                <w:szCs w:val="17"/>
              </w:rPr>
              <w:t>stock and house prices fall</w:t>
            </w:r>
            <w:r w:rsidRPr="00926A30">
              <w:rPr>
                <w:sz w:val="17"/>
                <w:szCs w:val="17"/>
              </w:rPr>
              <w:t xml:space="preserve">, </w:t>
            </w:r>
            <w:r w:rsidRPr="00926A30">
              <w:rPr>
                <w:b/>
                <w:bCs/>
                <w:sz w:val="17"/>
                <w:szCs w:val="17"/>
              </w:rPr>
              <w:t>bank credit contracts</w:t>
            </w:r>
            <w:r w:rsidRPr="00926A30">
              <w:rPr>
                <w:sz w:val="17"/>
                <w:szCs w:val="17"/>
              </w:rPr>
              <w:t xml:space="preserve">, </w:t>
            </w:r>
            <w:r w:rsidRPr="00926A30">
              <w:rPr>
                <w:b/>
                <w:bCs/>
                <w:sz w:val="17"/>
                <w:szCs w:val="17"/>
              </w:rPr>
              <w:t>CDS increases</w:t>
            </w:r>
            <w:r w:rsidRPr="00926A30">
              <w:rPr>
                <w:sz w:val="17"/>
                <w:szCs w:val="17"/>
              </w:rPr>
              <w:t xml:space="preserve">, </w:t>
            </w:r>
            <w:r w:rsidRPr="00926A30">
              <w:rPr>
                <w:b/>
                <w:bCs/>
                <w:sz w:val="17"/>
                <w:szCs w:val="17"/>
              </w:rPr>
              <w:t>industrial production contracts</w:t>
            </w:r>
            <w:r w:rsidRPr="00926A30">
              <w:rPr>
                <w:sz w:val="17"/>
                <w:szCs w:val="17"/>
              </w:rPr>
              <w:t xml:space="preserve">, </w:t>
            </w:r>
            <w:r w:rsidRPr="00926A30">
              <w:rPr>
                <w:b/>
                <w:bCs/>
                <w:sz w:val="17"/>
                <w:szCs w:val="17"/>
              </w:rPr>
              <w:t>prices fall</w:t>
            </w:r>
            <w:r w:rsidRPr="00926A30">
              <w:rPr>
                <w:sz w:val="17"/>
                <w:szCs w:val="17"/>
              </w:rPr>
              <w:t xml:space="preserve">. </w:t>
            </w:r>
            <w:r w:rsidRPr="00926A30">
              <w:rPr>
                <w:b/>
                <w:bCs/>
                <w:sz w:val="17"/>
                <w:szCs w:val="17"/>
              </w:rPr>
              <w:t>Forward-guidance-type shocks</w:t>
            </w:r>
            <w:r w:rsidRPr="00926A30">
              <w:rPr>
                <w:sz w:val="17"/>
                <w:szCs w:val="17"/>
              </w:rPr>
              <w:t xml:space="preserve">: persistent negative effects on output and prices. </w:t>
            </w:r>
            <w:r w:rsidRPr="00926A30">
              <w:rPr>
                <w:b/>
                <w:bCs/>
                <w:sz w:val="17"/>
                <w:szCs w:val="17"/>
              </w:rPr>
              <w:t>Country-risk shocks</w:t>
            </w:r>
            <w:r w:rsidRPr="00926A30">
              <w:rPr>
                <w:sz w:val="17"/>
                <w:szCs w:val="17"/>
              </w:rPr>
              <w:t xml:space="preserve">: portfolio reallocation/outflows, higher risk premia; </w:t>
            </w:r>
            <w:r w:rsidRPr="00926A30">
              <w:rPr>
                <w:b/>
                <w:bCs/>
                <w:sz w:val="17"/>
                <w:szCs w:val="17"/>
              </w:rPr>
              <w:t>rand depreciates</w:t>
            </w:r>
            <w:r w:rsidRPr="00926A30">
              <w:rPr>
                <w:sz w:val="17"/>
                <w:szCs w:val="17"/>
              </w:rPr>
              <w:t xml:space="preserve"> and macro variables contract. Also: the “information shock” behaves like a </w:t>
            </w:r>
            <w:r w:rsidRPr="00926A30">
              <w:rPr>
                <w:b/>
                <w:bCs/>
                <w:sz w:val="17"/>
                <w:szCs w:val="17"/>
              </w:rPr>
              <w:t>supply-type</w:t>
            </w:r>
            <w:r w:rsidRPr="00926A30">
              <w:rPr>
                <w:sz w:val="17"/>
                <w:szCs w:val="17"/>
              </w:rPr>
              <w:t xml:space="preserve"> disturbance (output down, prices up).</w:t>
            </w:r>
          </w:p>
        </w:tc>
      </w:tr>
      <w:tr w:rsidR="00926A30" w:rsidRPr="00926A30" w14:paraId="5AE4A965" w14:textId="77777777" w:rsidTr="0092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2884" w14:textId="77777777" w:rsidR="00926A30" w:rsidRPr="00926A30" w:rsidRDefault="00926A30" w:rsidP="00926A30">
            <w:pPr>
              <w:rPr>
                <w:sz w:val="17"/>
                <w:szCs w:val="17"/>
              </w:rPr>
            </w:pPr>
            <w:r w:rsidRPr="00926A30">
              <w:rPr>
                <w:b/>
                <w:bCs/>
                <w:sz w:val="17"/>
                <w:szCs w:val="17"/>
              </w:rPr>
              <w:t>Bolhuis, Das &amp; Yao (2024), “A New Dataset of High-Frequency Monetary Policy Shocks” (IMF WP/24/224)</w:t>
            </w:r>
          </w:p>
        </w:tc>
        <w:tc>
          <w:tcPr>
            <w:tcW w:w="0" w:type="auto"/>
            <w:vAlign w:val="center"/>
            <w:hideMark/>
          </w:tcPr>
          <w:p w14:paraId="4CBD1FC0" w14:textId="77777777" w:rsidR="00926A30" w:rsidRPr="00926A30" w:rsidRDefault="00926A30" w:rsidP="00926A30">
            <w:pPr>
              <w:rPr>
                <w:sz w:val="17"/>
                <w:szCs w:val="17"/>
              </w:rPr>
            </w:pPr>
            <w:r w:rsidRPr="00926A30">
              <w:rPr>
                <w:b/>
                <w:bCs/>
                <w:sz w:val="17"/>
                <w:szCs w:val="17"/>
              </w:rPr>
              <w:t>Financial instruments / derivatives:</w:t>
            </w:r>
            <w:r w:rsidRPr="00926A30">
              <w:rPr>
                <w:sz w:val="17"/>
                <w:szCs w:val="17"/>
              </w:rPr>
              <w:t xml:space="preserve"> daily changes in </w:t>
            </w:r>
            <w:r w:rsidRPr="00926A30">
              <w:rPr>
                <w:b/>
                <w:bCs/>
                <w:sz w:val="17"/>
                <w:szCs w:val="17"/>
              </w:rPr>
              <w:t>1-year interest-rate swaps (IRS)</w:t>
            </w:r>
            <w:r w:rsidRPr="00926A30">
              <w:rPr>
                <w:sz w:val="17"/>
                <w:szCs w:val="17"/>
              </w:rPr>
              <w:t xml:space="preserve"> around announcements. </w:t>
            </w:r>
            <w:r w:rsidRPr="00926A30">
              <w:rPr>
                <w:b/>
                <w:bCs/>
                <w:sz w:val="17"/>
                <w:szCs w:val="17"/>
              </w:rPr>
              <w:t>Equities:</w:t>
            </w:r>
            <w:r w:rsidRPr="00926A30">
              <w:rPr>
                <w:sz w:val="17"/>
                <w:szCs w:val="17"/>
              </w:rPr>
              <w:t xml:space="preserve"> stock-price moves used to separate “pure MP” vs “CB information” components.</w:t>
            </w:r>
          </w:p>
        </w:tc>
        <w:tc>
          <w:tcPr>
            <w:tcW w:w="0" w:type="auto"/>
            <w:vAlign w:val="center"/>
            <w:hideMark/>
          </w:tcPr>
          <w:p w14:paraId="0E77F3C0" w14:textId="77777777" w:rsidR="00926A30" w:rsidRPr="00926A30" w:rsidRDefault="00926A30" w:rsidP="00926A30">
            <w:pPr>
              <w:rPr>
                <w:sz w:val="17"/>
                <w:szCs w:val="17"/>
              </w:rPr>
            </w:pPr>
            <w:r w:rsidRPr="00926A30">
              <w:rPr>
                <w:sz w:val="17"/>
                <w:szCs w:val="17"/>
              </w:rPr>
              <w:t xml:space="preserve">1) Compute high-frequency </w:t>
            </w:r>
            <w:r w:rsidRPr="00926A30">
              <w:rPr>
                <w:b/>
                <w:bCs/>
                <w:sz w:val="17"/>
                <w:szCs w:val="17"/>
              </w:rPr>
              <w:t>monetary policy surprises</w:t>
            </w:r>
            <w:r w:rsidRPr="00926A30">
              <w:rPr>
                <w:sz w:val="17"/>
                <w:szCs w:val="17"/>
              </w:rPr>
              <w:t xml:space="preserve"> as the daily change in 1Y IRS around central-bank announcements across countries. 2) “Response-to-news” / predictability correction: construct an </w:t>
            </w:r>
            <w:r w:rsidRPr="00926A30">
              <w:rPr>
                <w:b/>
                <w:bCs/>
                <w:sz w:val="17"/>
                <w:szCs w:val="17"/>
              </w:rPr>
              <w:t>orthogonalized</w:t>
            </w:r>
            <w:r w:rsidRPr="00926A30">
              <w:rPr>
                <w:sz w:val="17"/>
                <w:szCs w:val="17"/>
              </w:rPr>
              <w:t xml:space="preserve"> surprise by removing components explained by pre-event macro data (their </w:t>
            </w:r>
            <w:proofErr w:type="spellStart"/>
            <w:r w:rsidRPr="00926A30">
              <w:rPr>
                <w:sz w:val="17"/>
                <w:szCs w:val="17"/>
              </w:rPr>
              <w:t>eqs</w:t>
            </w:r>
            <w:proofErr w:type="spellEnd"/>
            <w:r w:rsidRPr="00926A30">
              <w:rPr>
                <w:sz w:val="17"/>
                <w:szCs w:val="17"/>
              </w:rPr>
              <w:t>. (8)</w:t>
            </w:r>
            <w:proofErr w:type="gramStart"/>
            <w:r w:rsidRPr="00926A30">
              <w:rPr>
                <w:sz w:val="17"/>
                <w:szCs w:val="17"/>
              </w:rPr>
              <w:t>–(</w:t>
            </w:r>
            <w:proofErr w:type="gramEnd"/>
            <w:r w:rsidRPr="00926A30">
              <w:rPr>
                <w:sz w:val="17"/>
                <w:szCs w:val="17"/>
              </w:rPr>
              <w:t xml:space="preserve">9)). 3) Decompose orthogonalized surprises into </w:t>
            </w:r>
            <w:r w:rsidRPr="00926A30">
              <w:rPr>
                <w:b/>
                <w:bCs/>
                <w:sz w:val="17"/>
                <w:szCs w:val="17"/>
              </w:rPr>
              <w:t>monetary policy shocks vs central bank information shocks</w:t>
            </w:r>
            <w:r w:rsidRPr="00926A30">
              <w:rPr>
                <w:sz w:val="17"/>
                <w:szCs w:val="17"/>
              </w:rPr>
              <w:t xml:space="preserve"> following Jarociński–Karadi logic (their eq. (10)). 4) Implement “poor man’s sign restrictions”: classify an event as </w:t>
            </w:r>
            <w:r w:rsidRPr="00926A30">
              <w:rPr>
                <w:b/>
                <w:bCs/>
                <w:sz w:val="17"/>
                <w:szCs w:val="17"/>
              </w:rPr>
              <w:t>MP shock</w:t>
            </w:r>
            <w:r w:rsidRPr="00926A30">
              <w:rPr>
                <w:sz w:val="17"/>
                <w:szCs w:val="17"/>
              </w:rPr>
              <w:t xml:space="preserve"> when rate surprise × stock return ≤ 0 (tightening with stocks down), otherwise as </w:t>
            </w:r>
            <w:r w:rsidRPr="00926A30">
              <w:rPr>
                <w:b/>
                <w:bCs/>
                <w:sz w:val="17"/>
                <w:szCs w:val="17"/>
              </w:rPr>
              <w:t>CB information shock</w:t>
            </w:r>
            <w:r w:rsidRPr="00926A30">
              <w:rPr>
                <w:sz w:val="17"/>
                <w:szCs w:val="17"/>
              </w:rPr>
              <w:t xml:space="preserve"> (tightening with stocks up).</w:t>
            </w:r>
          </w:p>
        </w:tc>
        <w:tc>
          <w:tcPr>
            <w:tcW w:w="0" w:type="auto"/>
            <w:vAlign w:val="center"/>
            <w:hideMark/>
          </w:tcPr>
          <w:p w14:paraId="2ACECEEA" w14:textId="77777777" w:rsidR="00926A30" w:rsidRPr="00926A30" w:rsidRDefault="00926A30" w:rsidP="00926A30">
            <w:pPr>
              <w:rPr>
                <w:sz w:val="17"/>
                <w:szCs w:val="17"/>
              </w:rPr>
            </w:pPr>
            <w:r w:rsidRPr="00926A30">
              <w:rPr>
                <w:sz w:val="17"/>
                <w:szCs w:val="17"/>
              </w:rPr>
              <w:t>Two headline findings: (</w:t>
            </w:r>
            <w:proofErr w:type="spellStart"/>
            <w:r w:rsidRPr="00926A30">
              <w:rPr>
                <w:sz w:val="17"/>
                <w:szCs w:val="17"/>
              </w:rPr>
              <w:t>i</w:t>
            </w:r>
            <w:proofErr w:type="spellEnd"/>
            <w:r w:rsidRPr="00926A30">
              <w:rPr>
                <w:sz w:val="17"/>
                <w:szCs w:val="17"/>
              </w:rPr>
              <w:t xml:space="preserve">) </w:t>
            </w:r>
            <w:r w:rsidRPr="00926A30">
              <w:rPr>
                <w:b/>
                <w:bCs/>
                <w:sz w:val="17"/>
                <w:szCs w:val="17"/>
              </w:rPr>
              <w:t>Exchange-rate puzzle in EMs</w:t>
            </w:r>
            <w:r w:rsidRPr="00926A30">
              <w:rPr>
                <w:sz w:val="17"/>
                <w:szCs w:val="17"/>
              </w:rPr>
              <w:t xml:space="preserve">—contractionary MP shocks are associated with </w:t>
            </w:r>
            <w:r w:rsidRPr="00926A30">
              <w:rPr>
                <w:b/>
                <w:bCs/>
                <w:sz w:val="17"/>
                <w:szCs w:val="17"/>
              </w:rPr>
              <w:t>small depreciations</w:t>
            </w:r>
            <w:r w:rsidRPr="00926A30">
              <w:rPr>
                <w:sz w:val="17"/>
                <w:szCs w:val="17"/>
              </w:rPr>
              <w:t xml:space="preserve">, not appreciations. (ii) </w:t>
            </w:r>
            <w:r w:rsidRPr="00926A30">
              <w:rPr>
                <w:b/>
                <w:bCs/>
                <w:sz w:val="17"/>
                <w:szCs w:val="17"/>
              </w:rPr>
              <w:t>Spillovers</w:t>
            </w:r>
            <w:r w:rsidRPr="00926A30">
              <w:rPr>
                <w:sz w:val="17"/>
                <w:szCs w:val="17"/>
              </w:rPr>
              <w:t xml:space="preserve">: not only “big” central banks; </w:t>
            </w:r>
            <w:r w:rsidRPr="00926A30">
              <w:rPr>
                <w:b/>
                <w:bCs/>
                <w:sz w:val="17"/>
                <w:szCs w:val="17"/>
              </w:rPr>
              <w:t>small open economy</w:t>
            </w:r>
            <w:r w:rsidRPr="00926A30">
              <w:rPr>
                <w:sz w:val="17"/>
                <w:szCs w:val="17"/>
              </w:rPr>
              <w:t xml:space="preserve"> central banks’ decisions generate sizable cross-border effects on swap rates/bond yields, consistent with spillovers operating via </w:t>
            </w:r>
            <w:r w:rsidRPr="00926A30">
              <w:rPr>
                <w:b/>
                <w:bCs/>
                <w:sz w:val="17"/>
                <w:szCs w:val="17"/>
              </w:rPr>
              <w:t>information channels</w:t>
            </w:r>
            <w:r w:rsidRPr="00926A30">
              <w:rPr>
                <w:sz w:val="17"/>
                <w:szCs w:val="17"/>
              </w:rPr>
              <w:t xml:space="preserve"> too.</w:t>
            </w:r>
          </w:p>
        </w:tc>
      </w:tr>
    </w:tbl>
    <w:p w14:paraId="0D14B144" w14:textId="77777777" w:rsidR="00343E3C" w:rsidRPr="00926A30" w:rsidRDefault="00343E3C">
      <w:pPr>
        <w:rPr>
          <w:sz w:val="17"/>
          <w:szCs w:val="17"/>
        </w:rPr>
      </w:pPr>
    </w:p>
    <w:sectPr w:rsidR="00343E3C" w:rsidRPr="00926A30" w:rsidSect="00926A3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30"/>
    <w:rsid w:val="000319F4"/>
    <w:rsid w:val="002D0BED"/>
    <w:rsid w:val="00343E3C"/>
    <w:rsid w:val="00585A81"/>
    <w:rsid w:val="006F5F8B"/>
    <w:rsid w:val="00701697"/>
    <w:rsid w:val="0080290C"/>
    <w:rsid w:val="008B5DBA"/>
    <w:rsid w:val="00926A30"/>
    <w:rsid w:val="00B56A25"/>
    <w:rsid w:val="00BF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25E3"/>
  <w15:chartTrackingRefBased/>
  <w15:docId w15:val="{19A3FAA6-F95A-4DDD-91B8-880FE824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6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6A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6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6A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6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6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6A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6A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6A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6A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6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Fernando Jaulin Mendez</dc:creator>
  <cp:keywords/>
  <dc:description/>
  <cp:lastModifiedBy>Oscar Fernando Jaulin Mendez</cp:lastModifiedBy>
  <cp:revision>1</cp:revision>
  <dcterms:created xsi:type="dcterms:W3CDTF">2026-01-08T14:12:00Z</dcterms:created>
  <dcterms:modified xsi:type="dcterms:W3CDTF">2026-01-08T14:15:00Z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c0d8303b-3636-4d74-988f-22ab12082372</vt:lpwstr>
  </property>
</Properties>
</file>