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left w:color="7c3aed" w:space="12" w:sz="24" w:val="single"/>
        </w:pBdr>
        <w:spacing w:after="200" w:line="276" w:lineRule="auto"/>
        <w:ind w:left="240" w:righ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4"/>
          <w:szCs w:val="24"/>
          <w:rtl w:val="0"/>
        </w:rPr>
        <w:t xml:space="preserve">Propósito de este documento: </w:t>
      </w: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Esta guía establece las directrices estandarizadas del REA conforme a los lineamientos de la Maestría en Enseñanza en Entornos Digitales (MEED). Proporciona a los equipos docentes la información pedagógica, técnica y legal indispensable para comprender, contextualizar, adaptar, remezclar y aplicar este recurso en sus propias aulas presenciales o virtuales con rigor formativo y plena seguridad jurídica bajo licencia CC BY-SA 4.0.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60" w:before="36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8"/>
          <w:szCs w:val="28"/>
          <w:rtl w:val="0"/>
        </w:rPr>
        <w:t xml:space="preserve">1. Identificación y Metadatos del Recurso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000"/>
      </w:tblPr>
      <w:tblGrid>
        <w:gridCol w:w="2800"/>
        <w:gridCol w:w="6800"/>
        <w:tblGridChange w:id="0">
          <w:tblGrid>
            <w:gridCol w:w="28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2e106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106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Detalle Institucional y Pedagógico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Título del 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rtl w:val="0"/>
              </w:rPr>
              <w:t xml:space="preserve">Empatía: La Ciencia y el Arte de Conectar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Autoría y Afiliación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Óscar Javier Rojas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· Maestría en Enseñanza en Entornos Digitales (MEED).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Área Disciplinar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 Socioemocionales, Comunicación Interpersonal, Trabajo Colaborativo en Entornos Digitales, Liderazgo Humilde y Psicología Humanista.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Destinatarios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Estudiantes de educación superior (grado y posgrado), jóvenes en procesos de inserción laboral o tecnológica, docentes de áreas técnicas y humanísticas, coordinadores de equipos de trabajo colaborativo.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Licencia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rtl w:val="0"/>
              </w:rPr>
              <w:t xml:space="preserve">Creative Commons Atribución-Compartir Igual 4.0 Internacional (CC BY-SA 4.0)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Permite compartir, adaptar, remezclar y crear obras derivadas, incluso comercialmente, siempre que se atribuya la autoría original y se licencie bajo los mismos términos.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Repositorio y Acceso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71e3"/>
                <w:u w:val="single"/>
                <w:rtl w:val="0"/>
              </w:rPr>
              <w:t xml:space="preserve">https://webhook.lore-rise4tech.org/rea-empatia/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after="160" w:before="360" w:line="276" w:lineRule="auto"/>
        <w:rPr/>
      </w:pPr>
      <w:bookmarkStart w:colFirst="0" w:colLast="0" w:name="_rnqmqu6ofvua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8"/>
          <w:szCs w:val="28"/>
          <w:rtl w:val="0"/>
        </w:rPr>
        <w:t xml:space="preserve">2. Intencionalidad Pedagógica y Curricular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100" w:before="20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4"/>
          <w:szCs w:val="24"/>
          <w:rtl w:val="0"/>
        </w:rPr>
        <w:t xml:space="preserve">Propósito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REA tiene como propósito central transformar la concepción coloquial de la empatía («ponerse mecánicamente en los zapatos del otro») en una competencia relacional rigurosa, basada en neurobiología evolutiva (Giacomo Rizzolatti) y psicología humanista (Carl Rogers, Brené Brown y Edgar Schein). El recurso persigue que el estudiantado aprenda a sintonizar con la realidad ajena sin proyectar sus propios juicios, sin caer en la indolencia (minimización) ni en la invasión o sobre-identificación melodramática (enmeshment), aplicando la sabiduría del «como si» y formulando la Pregunta Humilde como instrumento de soporte auténtico en el trabajo colaborativo.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100" w:before="20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4"/>
          <w:szCs w:val="24"/>
          <w:rtl w:val="0"/>
        </w:rPr>
        <w:t xml:space="preserve">Objetivos del 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Objetivo General: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Desarrollar en el estudiantado la capacidad reflexiva y práctica de conectar empáticamente con otros en entornos de estudio y trabajo mediantados digitalmente, distinguiendo la validación emocional genuina de los errores habituales de juicio y apropiación dramática.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="276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Comprender la base neurobiológica de la empatía a partir del funcionamiento de las neuronas espejo y su valor para la cooperación en comunidades humanas.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="276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Reconocer el principio del «iceberg de significados invisibles», asumiendo que lo visible de una conducta o reacción siempre encierra dimensiones afectivas e históricas no manifiestas.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76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Distinguir con precisión los dos abismos relacionales: la minimización indolente («no es para tanto») y la apropiación melodramática («yo me muero si me pasa»), posicionándose en la cumbre del «como si» de Carl Rogers.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6" w:lineRule="auto"/>
        <w:ind w:left="4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Experimentar y formular en situaciones dialógicas reales la Pregunta Humilde de Edgar Schein: «¿Qué forma debe tomar mi ayuda para que responda a tu necesidad?», cediendo el protagonismo y desarmando la trampa de aconsejar sin validar.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100" w:before="20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4"/>
          <w:szCs w:val="24"/>
          <w:rtl w:val="0"/>
        </w:rPr>
        <w:t xml:space="preserve">Sugerencia de Implementación Pedagógica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recurso está diseñado para desplegarse de manera flexible en distintos momentos curriculares: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Fase de Inicio / Detonador: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Proyectar la Estación 1 (cápsula audiovisual y dilema del cactus) al comienzo de una unidad sobre trabajo en equipo, metodologías ágiles o liderazgo para detonar un debate sincrónico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Fase de Desarrollo / Estudio Autónomo: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Asignar la navegación completa del REA (Estaciones 2 y 3) como microlearning previo a un taller práctico, permitiendo que cada participante interactúe con el decodificador de expresiones y la ficha de memoria a su propio ritmo.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Fase de Cierre e Integración Formativa: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Utilizar el Laboratorio de Dilemas y la rúbrica formativa para valorar cómo los equipos resuelven tensiones de comunicación reales en sus proyectos finales.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60" w:before="36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8"/>
          <w:szCs w:val="28"/>
          <w:rtl w:val="0"/>
        </w:rPr>
        <w:t xml:space="preserve">3. Especificaciones Técnicas y Requisitos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Formatos y Tecnologías: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Sitio web estático autónomo desarrollado en HTML5 semántico, Tailwind CSS y Vanilla JavaScript puro (sin frameworks pesados ni dependencias externas de compilación). Incluye video MP4 en alta definición (1080p @ 30fps) alojado en YouTube con soporte de subtítulos, Ficha de Memoria descargable en formato PDF vectorial (A4) y versión HTML directa, e iconografía SVG escalable mediante biblioteca Lucide Icons.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Instalación y Despliegue: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Cero barreras de instalación. Puede ejecutarse directamente desde cualquier navegador web moderno (Chrome, Safari, Firefox, Edge) a través de su URL pública, integrarse mediante iframe o enlace LTI dentro de entornos virtuales de aprendizaje (Moodle, Canvas, Blackboard, Google Classroom), o descargarse como paquete de archivos estáticos para su ejecución local fuera de línea (offline).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Accesibilidad y Diseño Universal para el Aprendizaje (DUA):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Diseñado bajo los tres principios fundamentales del DUA:       a) Múltiples formas de representación: combinación equilibrada de video con subtítulos, esquemas conceptuales con alto contraste de color (WCAG AAA), metáforas visuales ilustradas y transcripción textual completa palabra por palabra del video para personas con discapacidad auditiva o baja conectividad.      b) Múltiples formas de acción y expresión: navegación secuencial por pasos con botones táctiles de gran porte y atajos por pestañas, botones de retorno y feedback inmediato multinivel.      c) Múltiples formas de implicación: dilemas interactivos situados en la cotidianidad laboral, gamificación formativa sin penalizaciones y micro-retos de aplicación inmediata.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60" w:before="36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8"/>
          <w:szCs w:val="28"/>
          <w:rtl w:val="0"/>
        </w:rPr>
        <w:t xml:space="preserve">4. Orientaciones para la Adaptación y el Remix (Reutilización)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consonancia con las 5 libertades de los Recursos Educativos Abiertos (Retener, Reutilizar, Revisar, Remezclar y Redistribuir), se alienta a los docentes a adaptar esta propuesta: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Contextualización de Dilemas: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docentes pueden sustituir los casos del Laboratorio (el caso de la estudiante trabajadora o las 4 expresiones reactivas) por situaciones conflictivas propias de su carrera o disciplina (por ejemplo, dilemas de relación médico-paciente en medicina, negociaciones tensas en abogacía o debates de código en ingeniería de software).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Incorporación de Nuevos Idiomas: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 ser código HTML y JSON limpio, la estructura permite traducir íntegramente los textos y etiquetas a portugués, inglés o lenguas originarias sin necesidad de rediseñar las pantallas.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Modularización Pedagógica: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docente no está obligado a utilizar las 5 páginas en bloque; puede extraer únicamente la Ficha de Memoria PDF para enviarla como síntesis de WhatsApp, o embeber solo el Decodificador de Expresiones en un foro evaluativo de su LMS.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Cláusula de Atribución Obligatoria (CC BY-SA 4.0):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Cualquier obra derivada debe dar crédito explícito a la autoría original: «Basado en el REA Empatía: La Ciencia y el Arte de Conectar de Óscar Javier Rojas (MEED)» y publicarse bajo los mismos términos de licenciamiento abierto.</w:t>
      </w:r>
    </w:p>
    <w:p w:rsidR="00000000" w:rsidDel="00000000" w:rsidP="00000000" w:rsidRDefault="00000000" w:rsidRPr="00000000" w14:paraId="0000002B">
      <w:pPr>
        <w:pStyle w:val="Heading2"/>
        <w:spacing w:after="160" w:before="36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8"/>
          <w:szCs w:val="28"/>
          <w:rtl w:val="0"/>
        </w:rPr>
        <w:t xml:space="preserve">5. Criterios Sugeridos de Evaluación Formativa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6"/>
          <w:sz w:val="24"/>
          <w:szCs w:val="24"/>
          <w:rtl w:val="0"/>
        </w:rPr>
        <w:t xml:space="preserve">Para valorar el nivel de apropiación conceptual y la aplicación transferencial de la empatía, se propone a los docentes la siguiente rúbrica de valoración formativa: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000"/>
      </w:tblPr>
      <w:tblGrid>
        <w:gridCol w:w="2400"/>
        <w:gridCol w:w="2400"/>
        <w:gridCol w:w="2400"/>
        <w:gridCol w:w="2400"/>
        <w:tblGridChange w:id="0">
          <w:tblGrid>
            <w:gridCol w:w="2400"/>
            <w:gridCol w:w="240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2e1065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1065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Nivel Inicial (En Desarrollo)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1065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Nivel Competente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1065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Nivel Destacado (Cumbre Empática)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 Marco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424245"/>
                <w:rtl w:val="0"/>
              </w:rPr>
              <w:t xml:space="preserve">Juzga las dificultades ajenas desde sus propios privilegios («yo ya lo habría resuelto»).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424245"/>
                <w:rtl w:val="0"/>
              </w:rPr>
              <w:t xml:space="preserve">Comprende que el otro tiene motivos propios, aunque en ocasiones le cuesta suspender su opinión.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rtl w:val="0"/>
              </w:rPr>
              <w:t xml:space="preserve">Adopta de forma genuina el marco del interlocutor respetando radicalmente su singularidad y biografía invisible.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 Equilibrio Emocional (Límites)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424245"/>
                <w:rtl w:val="0"/>
              </w:rPr>
              <w:t xml:space="preserve">Cae en la minimización («no es para tanto») o en la apropiación melodramática («yo me muero»).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424245"/>
                <w:rtl w:val="0"/>
              </w:rPr>
              <w:t xml:space="preserve">Escucha con respeto pero se apresura a recetar soluciones no pedidas para calmar su propia incomodidad.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rtl w:val="0"/>
              </w:rPr>
              <w:t xml:space="preserve">Habita el «como si» de Rogers: sostiene la presencia en la orilla del muelle cuidando la soberanía del otro.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 Capacidad Dialógica (Schein)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424245"/>
                <w:rtl w:val="0"/>
              </w:rPr>
              <w:t xml:space="preserve">Impone directivas o evade la conversación cuando surgen tensiones en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424245"/>
                <w:rtl w:val="0"/>
              </w:rPr>
              <w:t xml:space="preserve">Pregunta de forma general («¿estás bien?»), limitando la profundidad de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rtl w:val="0"/>
              </w:rPr>
              <w:t xml:space="preserve">Formula la Pregunta Humilde con naturalidad: indaga qué forma concreta de apoyo requiere el otro sin imponerse.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spacing w:after="160" w:before="36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8"/>
          <w:szCs w:val="28"/>
          <w:rtl w:val="0"/>
        </w:rPr>
        <w:t xml:space="preserve">Referencias Bibliográficas del Recurso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• Brown, B. &amp; Grant, A. (2022).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24245"/>
          <w:sz w:val="24"/>
          <w:szCs w:val="24"/>
          <w:rtl w:val="0"/>
        </w:rPr>
        <w:t xml:space="preserve">Empathy vs. Enmeshment (Part 4 of 6)</w:t>
      </w: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. Dare to Lead Podcast.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• Bueno, D. (2019).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24245"/>
          <w:sz w:val="24"/>
          <w:szCs w:val="24"/>
          <w:rtl w:val="0"/>
        </w:rPr>
        <w:t xml:space="preserve">Neurociencia para educadores: Ruedas, chasis y gasolina para el cerebro</w:t>
      </w: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. Barcelona: Editorial Octaedro.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• Dussel, I. (2011).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24245"/>
          <w:sz w:val="24"/>
          <w:szCs w:val="24"/>
          <w:rtl w:val="0"/>
        </w:rPr>
        <w:t xml:space="preserve">Aprender y enseñar en la cultura digital</w:t>
      </w: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. VII Foro Latinoamericano de Educación. Buenos Aires: Santillana / FLACSO.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• Goleman, D. (1995).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24245"/>
          <w:sz w:val="24"/>
          <w:szCs w:val="24"/>
          <w:rtl w:val="0"/>
        </w:rPr>
        <w:t xml:space="preserve">Inteligencia Emocional</w:t>
      </w: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. Barcelona: Editorial Kairós.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• Rizzolatti, G. &amp; Sinigaglia, C. (2006).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24245"/>
          <w:sz w:val="24"/>
          <w:szCs w:val="24"/>
          <w:rtl w:val="0"/>
        </w:rPr>
        <w:t xml:space="preserve">Las neuronas espejo: Los mecanismos de la empatía emocional</w:t>
      </w: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. Barcelona: Paidós.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• Rogers, C. (1961).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24245"/>
          <w:sz w:val="24"/>
          <w:szCs w:val="24"/>
          <w:rtl w:val="0"/>
        </w:rPr>
        <w:t xml:space="preserve">El proceso de convertirse en persona: Mi técnica terapéutica</w:t>
      </w: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. Buenos Aires: Paidós.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• Rosenberg, M. (2003).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24245"/>
          <w:sz w:val="24"/>
          <w:szCs w:val="24"/>
          <w:rtl w:val="0"/>
        </w:rPr>
        <w:t xml:space="preserve">Comunicación No Violenta: Un lenguaje de vida</w:t>
      </w: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. Buenos Aires: Editorial Gran Aldea.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6" w:lineRule="auto"/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• Schein, E. (2013).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24245"/>
          <w:sz w:val="24"/>
          <w:szCs w:val="24"/>
          <w:rtl w:val="0"/>
        </w:rPr>
        <w:t xml:space="preserve">Humble Inquiry: The Gentle Art of Asking Instead of Telling</w:t>
      </w:r>
      <w:r w:rsidDel="00000000" w:rsidR="00000000" w:rsidRPr="00000000">
        <w:rPr>
          <w:rFonts w:ascii="Arial" w:cs="Arial" w:eastAsia="Arial" w:hAnsi="Arial"/>
          <w:color w:val="424245"/>
          <w:sz w:val="24"/>
          <w:szCs w:val="24"/>
          <w:rtl w:val="0"/>
        </w:rPr>
        <w:t xml:space="preserve">. San Francisco: Berrett-Koehler Publishers.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7c3aed" w:space="8" w:sz="12" w:val="single"/>
        </w:pBdr>
        <w:spacing w:after="10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24"/>
          <w:szCs w:val="24"/>
          <w:rtl w:val="0"/>
        </w:rPr>
        <w:t xml:space="preserve">Enlace Permanente del Recurso Educativo Abierto: </w:t>
      </w:r>
      <w:r w:rsidDel="00000000" w:rsidR="00000000" w:rsidRPr="00000000">
        <w:rPr>
          <w:rFonts w:ascii="Arial" w:cs="Arial" w:eastAsia="Arial" w:hAnsi="Arial"/>
          <w:color w:val="0071e3"/>
          <w:sz w:val="24"/>
          <w:szCs w:val="24"/>
          <w:u w:val="single"/>
          <w:rtl w:val="0"/>
        </w:rPr>
        <w:t xml:space="preserve">https://webhook.lore-rise4tech.org/rea-empatia/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b3d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952"/>
        </w:tabs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50" w:w="11910" w:orient="portrait"/>
      <w:pgMar w:bottom="1133.8582677165355" w:top="2267.716535433071" w:left="1417.3228346456694" w:right="1700.787401574803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tabs>
        <w:tab w:val="left" w:leader="none" w:pos="9952"/>
      </w:tabs>
      <w:ind w:left="0" w:firstLine="0"/>
      <w:rPr>
        <w:sz w:val="18"/>
        <w:szCs w:val="18"/>
      </w:rPr>
    </w:pPr>
    <w:r w:rsidDel="00000000" w:rsidR="00000000" w:rsidRPr="00000000">
      <w:rPr>
        <w:color w:val="545454"/>
        <w:sz w:val="18"/>
        <w:szCs w:val="18"/>
        <w:rtl w:val="0"/>
      </w:rPr>
      <w:t xml:space="preserve">Plantilla REA - MEED                                                                                                Página </w:t>
    </w:r>
    <w:r w:rsidDel="00000000" w:rsidR="00000000" w:rsidRPr="00000000">
      <w:rPr>
        <w:color w:val="545454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2752725</wp:posOffset>
          </wp:positionH>
          <wp:positionV relativeFrom="paragraph">
            <wp:posOffset>-228598</wp:posOffset>
          </wp:positionV>
          <wp:extent cx="809625" cy="276225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9625" cy="276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3000</wp:posOffset>
              </wp:positionH>
              <wp:positionV relativeFrom="page">
                <wp:posOffset>-76198</wp:posOffset>
              </wp:positionV>
              <wp:extent cx="7543800" cy="1404938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4100" y="3077525"/>
                        <a:ext cx="7543800" cy="1404938"/>
                        <a:chOff x="1574100" y="3077525"/>
                        <a:chExt cx="7543800" cy="1404950"/>
                      </a:xfrm>
                    </wpg:grpSpPr>
                    <wpg:grpSp>
                      <wpg:cNvGrpSpPr/>
                      <wpg:grpSpPr>
                        <a:xfrm>
                          <a:off x="1574100" y="3077531"/>
                          <a:ext cx="7543800" cy="1404938"/>
                          <a:chOff x="1564575" y="2917350"/>
                          <a:chExt cx="7562850" cy="1725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64575" y="2917350"/>
                            <a:ext cx="7562850" cy="172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64575" y="2917353"/>
                            <a:ext cx="7562850" cy="1725295"/>
                            <a:chOff x="0" y="0"/>
                            <a:chExt cx="7562850" cy="172529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562850" cy="172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562850" cy="17246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20090" y="238125"/>
                              <a:ext cx="187134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562850" cy="1725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254.000015258789" w:right="0" w:firstLine="2508.00003051757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7"/>
                                    <w:vertAlign w:val="baseline"/>
                                  </w:rPr>
                                  <w:t xml:space="preserve">PLANTILLA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7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437.00000762939453" w:right="0" w:firstLine="874.000015258789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b3d4f"/>
                                    <w:sz w:val="44"/>
                                    <w:vertAlign w:val="baseline"/>
                                  </w:rPr>
                                  <w:t xml:space="preserve">Guía de Reutilización REA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6.00000381469727" w:line="240"/>
                                  <w:ind w:left="0" w:right="643.0000305175781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b3d4f"/>
                                    <w:sz w:val="4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2e7f0"/>
                                    <w:sz w:val="22"/>
                                    <w:vertAlign w:val="baseline"/>
                                  </w:rPr>
                                  <w:t xml:space="preserve">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3000</wp:posOffset>
              </wp:positionH>
              <wp:positionV relativeFrom="page">
                <wp:posOffset>-76198</wp:posOffset>
              </wp:positionV>
              <wp:extent cx="7543800" cy="140493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3800" cy="14049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384" w:hanging="324.00000000000006"/>
    </w:pPr>
    <w:rPr>
      <w:rFonts w:ascii="Tahoma" w:cs="Tahoma" w:eastAsia="Tahoma" w:hAnsi="Tahom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1613" w:hanging="478"/>
    </w:pPr>
    <w:rPr>
      <w:rFonts w:ascii="Tahoma" w:cs="Tahoma" w:eastAsia="Tahoma" w:hAnsi="Tahoma"/>
      <w:b w:val="1"/>
      <w:bCs w:val="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