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3.2.1 Summary of Serious Adverse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Preferred Term</w:t>
            </w:r>
          </w:p>
        </w:tc>
        <w:tc>
          <w:tcPr>
            <w:tcW w:type="dxa" w:w="2880"/>
          </w:tcPr>
          <w:p>
            <w:r>
              <w:t>Placebo</w:t>
            </w:r>
          </w:p>
        </w:tc>
        <w:tc>
          <w:tcPr>
            <w:tcW w:type="dxa" w:w="2880"/>
          </w:tcPr>
          <w:p>
            <w:r>
              <w:t>Compound Y</w:t>
            </w:r>
          </w:p>
        </w:tc>
      </w:tr>
      <w:tr>
        <w:tc>
          <w:tcPr>
            <w:tcW w:type="dxa" w:w="2880"/>
          </w:tcPr>
          <w:p>
            <w:r>
              <w:t>Headache</w:t>
            </w:r>
          </w:p>
        </w:tc>
        <w:tc>
          <w:tcPr>
            <w:tcW w:type="dxa" w:w="2880"/>
          </w:tcPr>
          <w:p>
            <w:r>
              <w:t>5 (10.3%)</w:t>
            </w:r>
          </w:p>
        </w:tc>
        <w:tc>
          <w:tcPr>
            <w:tcW w:type="dxa" w:w="2880"/>
          </w:tcPr>
          <w:p>
            <w:r>
              <w:t>7 (10.4%)</w:t>
            </w:r>
          </w:p>
        </w:tc>
      </w:tr>
      <w:tr>
        <w:tc>
          <w:tcPr>
            <w:tcW w:type="dxa" w:w="2880"/>
          </w:tcPr>
          <w:p>
            <w:r>
              <w:t>Nausea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3 (4.5%)</w:t>
            </w:r>
          </w:p>
        </w:tc>
      </w:tr>
      <w:tr>
        <w:tc>
          <w:tcPr>
            <w:tcW w:type="dxa" w:w="2880"/>
          </w:tcPr>
          <w:p>
            <w:r>
              <w:t>Fatigue</w:t>
            </w:r>
          </w:p>
        </w:tc>
        <w:tc>
          <w:tcPr>
            <w:tcW w:type="dxa" w:w="2880"/>
          </w:tcPr>
          <w:p>
            <w:r>
              <w:t>2 (4.1%)</w:t>
            </w:r>
          </w:p>
        </w:tc>
        <w:tc>
          <w:tcPr>
            <w:tcW w:type="dxa" w:w="2880"/>
          </w:tcPr>
          <w:p>
            <w:r>
              <w:t>2 (4.1%)</w:t>
            </w:r>
          </w:p>
        </w:tc>
      </w:tr>
      <w:tr>
        <w:tc>
          <w:tcPr>
            <w:tcW w:type="dxa" w:w="2880"/>
          </w:tcPr>
          <w:p>
            <w:r>
              <w:t>Total number of participants with SAE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