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Déontologie des professionnels comptables</w:t>
      </w:r>
    </w:p>
    <w:p>
      <w:r>
        <w:t xml:space="preserve">Synthèse des grandes lignes du webinaire</w:t>
      </w:r>
    </w:p>
    <w:p>
      <w:pPr>
        <w:spacing w:after="160"/>
      </w:pPr>
      <w:r>
        <w:t xml:space="preserve">Session 1 · Module 5 · 16 septembre 2026 · M. ALASSANI (CNS Togo)</w:t>
      </w:r>
    </w:p>
    <w:p>
      <w:pPr>
        <w:pStyle w:val="Heading1"/>
      </w:pPr>
      <w:r>
        <w:t xml:space="preserve">Objectif du webinaire</w:t>
      </w:r>
    </w:p>
    <w:p>
      <w:r>
        <w:t xml:space="preserve">Le webinaire présente le code international d’éthique des professionnels comptables, dans son édition 2022 traduite en français par la Fédération panafricaine des experts-comptables (PAFA). Il expose l’architecture du code, les cinq principes fondamentaux, le cadre conceptuel de traitement des menaces, ainsi que les questions d’indépendance, de dépendance économique, de communication et d’incompatibilités.</w:t>
      </w:r>
    </w:p>
    <w:p>
      <w:pPr>
        <w:pStyle w:val="Heading1"/>
      </w:pPr>
      <w:r>
        <w:t xml:space="preserve">Grandes lignes à retenir</w:t>
      </w:r>
    </w:p>
    <w:p>
      <w:pPr>
        <w:pStyle w:val="ListParagraph"/>
        <w:numPr>
          <w:ilvl w:val="0"/>
          <w:numId w:val="1"/>
        </w:numPr>
      </w:pPr>
      <w:r>
        <w:t xml:space="preserve">Le code s’applique à tous les professionnels comptables, qu’ils exercent en cabinet ou en entreprise.</w:t>
      </w:r>
    </w:p>
    <w:p>
      <w:pPr>
        <w:pStyle w:val="ListParagraph"/>
        <w:numPr>
          <w:ilvl w:val="0"/>
          <w:numId w:val="1"/>
        </w:numPr>
      </w:pPr>
      <w:r>
        <w:t xml:space="preserve">Cinq principes fondamentaux structurent la conduite : intégrité, objectivité, compétence et diligence, confidentialité, comportement professionnel.</w:t>
      </w:r>
    </w:p>
    <w:p>
      <w:pPr>
        <w:pStyle w:val="ListParagraph"/>
        <w:numPr>
          <w:ilvl w:val="0"/>
          <w:numId w:val="1"/>
        </w:numPr>
      </w:pPr>
      <w:r>
        <w:t xml:space="preserve">Le cadre conceptuel distingue cinq catégories de menaces et impose une démarche en trois temps : identifier, évaluer, répondre.</w:t>
      </w:r>
    </w:p>
    <w:p>
      <w:pPr>
        <w:pStyle w:val="ListParagraph"/>
        <w:numPr>
          <w:ilvl w:val="0"/>
          <w:numId w:val="1"/>
        </w:numPr>
      </w:pPr>
      <w:r>
        <w:t xml:space="preserve">L’indépendance s’apprécie en fait et en apparence ; la dépendance économique à l’égard d’un client constitue une menace à surveiller.</w:t>
      </w:r>
    </w:p>
    <w:p>
      <w:pPr>
        <w:pStyle w:val="ListParagraph"/>
        <w:numPr>
          <w:ilvl w:val="0"/>
          <w:numId w:val="1"/>
        </w:numPr>
      </w:pPr>
      <w:r>
        <w:t xml:space="preserve">La communication du cabinet et l’exercice d’activités commerciales obéissent à des limites qui protègent l’objectivité et l’image de la profession.</w:t>
      </w:r>
    </w:p>
    <w:p>
      <w:pPr>
        <w:pStyle w:val="Heading1"/>
      </w:pPr>
      <w:r>
        <w:t xml:space="preserve">1. Architecture du code</w:t>
      </w:r>
    </w:p>
    <w:p>
      <w:pPr>
        <w:pStyle w:val="Heading2"/>
      </w:pPr>
      <w:r>
        <w:t xml:space="preserve">Un organe de normalisation international</w:t>
      </w:r>
    </w:p>
    <w:p>
      <w:r>
        <w:t xml:space="preserve">Le code est élaboré par l’organe international de normalisation de l’éthique comptable et sa version 2022 a été traduite en français par la PAFA. Il constitue un socle commun que chaque pays articule ensuite avec son propre droit.</w:t>
      </w:r>
    </w:p>
    <w:p>
      <w:pPr>
        <w:pStyle w:val="Heading2"/>
      </w:pPr>
      <w:r>
        <w:t xml:space="preserve">Une numérotation par séries de paragraphes</w:t>
      </w:r>
    </w:p>
    <w:p>
      <w:r>
        <w:t xml:space="preserve">Le code est organisé en parties, chacune identifiée par une série de paragraphes, de la série 100-199 à la série 900-999.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shd w:fill="0D47A1" w:color="auto" w:val="clear"/>
            <w:tcMar>
              <w:top w:type="dxa" w:w="60"/>
              <w:left w:type="dxa" w:w="100"/>
              <w:bottom w:type="dxa" w:w="60"/>
              <w:right w:type="dxa" w:w="100"/>
            </w:tcMar>
          </w:tcPr>
          <w:p>
            <w:r>
              <w:rPr>
                <w:b/>
                <w:bCs/>
                <w:color w:val="FFFFFF"/>
              </w:rPr>
              <w:t xml:space="preserve">Série</w:t>
            </w:r>
          </w:p>
        </w:tc>
        <w:tc>
          <w:tcPr>
            <w:shd w:fill="0D47A1" w:color="auto" w:val="clear"/>
            <w:tcMar>
              <w:top w:type="dxa" w:w="60"/>
              <w:left w:type="dxa" w:w="100"/>
              <w:bottom w:type="dxa" w:w="60"/>
              <w:right w:type="dxa" w:w="100"/>
            </w:tcMar>
          </w:tcPr>
          <w:p>
            <w:r>
              <w:rPr>
                <w:b/>
                <w:bCs/>
                <w:color w:val="FFFFFF"/>
              </w:rPr>
              <w:t xml:space="preserve">Partie du code</w:t>
            </w:r>
          </w:p>
        </w:tc>
      </w:tr>
      <w:tr>
        <w:tc>
          <w:tcPr>
            <w:tcW w:type="dxa" w:w="1500"/>
            <w:tcMar>
              <w:top w:type="dxa" w:w="60"/>
              <w:left w:type="dxa" w:w="100"/>
              <w:bottom w:type="dxa" w:w="60"/>
              <w:right w:type="dxa" w:w="100"/>
            </w:tcMar>
          </w:tcPr>
          <w:p>
            <w:r>
              <w:t xml:space="preserve">100-199</w:t>
            </w:r>
          </w:p>
        </w:tc>
        <w:tc>
          <w:tcPr>
            <w:tcW w:type="dxa" w:w="7526"/>
            <w:tcMar>
              <w:top w:type="dxa" w:w="60"/>
              <w:left w:type="dxa" w:w="100"/>
              <w:bottom w:type="dxa" w:w="60"/>
              <w:right w:type="dxa" w:w="100"/>
            </w:tcMar>
          </w:tcPr>
          <w:p>
            <w:r>
              <w:t xml:space="preserve">Respect du code, principes fondamentaux et cadre conceptuel — applicables à tous les professionnels comptables.</w:t>
            </w:r>
          </w:p>
        </w:tc>
      </w:tr>
      <w:tr>
        <w:tc>
          <w:tcPr>
            <w:tcW w:type="dxa" w:w="1500"/>
            <w:shd w:fill="F1F5FB" w:color="auto" w:val="clear"/>
            <w:tcMar>
              <w:top w:type="dxa" w:w="60"/>
              <w:left w:type="dxa" w:w="100"/>
              <w:bottom w:type="dxa" w:w="60"/>
              <w:right w:type="dxa" w:w="100"/>
            </w:tcMar>
          </w:tcPr>
          <w:p>
            <w:r>
              <w:t xml:space="preserve">200-299</w:t>
            </w:r>
          </w:p>
        </w:tc>
        <w:tc>
          <w:tcPr>
            <w:tcW w:type="dxa" w:w="7526"/>
            <w:shd w:fill="F1F5FB" w:color="auto" w:val="clear"/>
            <w:tcMar>
              <w:top w:type="dxa" w:w="60"/>
              <w:left w:type="dxa" w:w="100"/>
              <w:bottom w:type="dxa" w:w="60"/>
              <w:right w:type="dxa" w:w="100"/>
            </w:tcMar>
          </w:tcPr>
          <w:p>
            <w:r>
              <w:t xml:space="preserve">Professionnels comptables exerçant en entreprise (salariés).</w:t>
            </w:r>
          </w:p>
        </w:tc>
      </w:tr>
      <w:tr>
        <w:tc>
          <w:tcPr>
            <w:tcW w:type="dxa" w:w="1500"/>
            <w:tcMar>
              <w:top w:type="dxa" w:w="60"/>
              <w:left w:type="dxa" w:w="100"/>
              <w:bottom w:type="dxa" w:w="60"/>
              <w:right w:type="dxa" w:w="100"/>
            </w:tcMar>
          </w:tcPr>
          <w:p>
            <w:r>
              <w:t xml:space="preserve">300-399</w:t>
            </w:r>
          </w:p>
        </w:tc>
        <w:tc>
          <w:tcPr>
            <w:tcW w:type="dxa" w:w="7526"/>
            <w:tcMar>
              <w:top w:type="dxa" w:w="60"/>
              <w:left w:type="dxa" w:w="100"/>
              <w:bottom w:type="dxa" w:w="60"/>
              <w:right w:type="dxa" w:w="100"/>
            </w:tcMar>
          </w:tcPr>
          <w:p>
            <w:r>
              <w:t xml:space="preserve">Professionnels comptables exerçant en cabinet.</w:t>
            </w:r>
          </w:p>
        </w:tc>
      </w:tr>
      <w:tr>
        <w:tc>
          <w:tcPr>
            <w:tcW w:type="dxa" w:w="1500"/>
            <w:shd w:fill="F1F5FB" w:color="auto" w:val="clear"/>
            <w:tcMar>
              <w:top w:type="dxa" w:w="60"/>
              <w:left w:type="dxa" w:w="100"/>
              <w:bottom w:type="dxa" w:w="60"/>
              <w:right w:type="dxa" w:w="100"/>
            </w:tcMar>
          </w:tcPr>
          <w:p>
            <w:r>
              <w:t xml:space="preserve">400-899</w:t>
            </w:r>
          </w:p>
        </w:tc>
        <w:tc>
          <w:tcPr>
            <w:tcW w:type="dxa" w:w="7526"/>
            <w:shd w:fill="F1F5FB" w:color="auto" w:val="clear"/>
            <w:tcMar>
              <w:top w:type="dxa" w:w="60"/>
              <w:left w:type="dxa" w:w="100"/>
              <w:bottom w:type="dxa" w:w="60"/>
              <w:right w:type="dxa" w:w="100"/>
            </w:tcMar>
          </w:tcPr>
          <w:p>
            <w:r>
              <w:t xml:space="preserve">Indépendance à l’égard des missions d’audit et d’examen limité.</w:t>
            </w:r>
          </w:p>
        </w:tc>
      </w:tr>
      <w:tr>
        <w:tc>
          <w:tcPr>
            <w:tcW w:type="dxa" w:w="1500"/>
            <w:tcMar>
              <w:top w:type="dxa" w:w="60"/>
              <w:left w:type="dxa" w:w="100"/>
              <w:bottom w:type="dxa" w:w="60"/>
              <w:right w:type="dxa" w:w="100"/>
            </w:tcMar>
          </w:tcPr>
          <w:p>
            <w:r>
              <w:t xml:space="preserve">900-999</w:t>
            </w:r>
          </w:p>
        </w:tc>
        <w:tc>
          <w:tcPr>
            <w:tcW w:type="dxa" w:w="7526"/>
            <w:tcMar>
              <w:top w:type="dxa" w:w="60"/>
              <w:left w:type="dxa" w:w="100"/>
              <w:bottom w:type="dxa" w:w="60"/>
              <w:right w:type="dxa" w:w="100"/>
            </w:tcMar>
          </w:tcPr>
          <w:p>
            <w:r>
              <w:t xml:space="preserve">Indépendance à l’égard des autres missions d’assurance.</w:t>
            </w:r>
          </w:p>
        </w:tc>
      </w:tr>
    </w:tbl>
    <w:p>
      <w:pPr>
        <w:pStyle w:val="Heading2"/>
      </w:pPr>
      <w:r>
        <w:t xml:space="preserve">Exigences et modalités d’application</w:t>
      </w:r>
    </w:p>
    <w:p>
      <w:r>
        <w:t xml:space="preserve">À l’intérieur de chaque partie, le code distingue les exigences, qui énoncent des obligations impératives, des modalités d’application, qui expliquent, illustrent et aident à comprendre comment les satisfaire. Les modalités d’application ne créent pas d’obligation en elles-mêmes mais éclairent la mise en œuvre des exigences.</w:t>
      </w:r>
    </w:p>
    <w:p>
      <w:pPr>
        <w:spacing w:after="120"/>
      </w:pPr>
      <w:r>
        <w:rPr>
          <w:b/>
          <w:bCs/>
        </w:rPr>
        <w:t xml:space="preserve">Articulation avec le droit national : </w:t>
      </w:r>
      <w:r>
        <w:t xml:space="preserve">le code fixe un niveau minimal commun. Lorsque la loi ou la réglementation nationale est plus stricte, elle prévaut. En cas de disposition nationale qui empêcherait de respecter une partie du code, le professionnel se conforme au droit applicable et gère les conséquences déontologiques qui en découlent.</w:t>
      </w:r>
    </w:p>
    <w:p>
      <w:pPr>
        <w:pStyle w:val="Heading1"/>
      </w:pPr>
      <w:r>
        <w:t xml:space="preserve">2. Les cinq principes fondamentaux</w:t>
      </w:r>
    </w:p>
    <w:p>
      <w:r>
        <w:t xml:space="preserve">Le respect des cinq principes fondamentaux s’impose à tous les professionnels comptables. Ils forment le cœur de la déontologie et servent de référence lorsque le cadre conceptuel doit être mis en œuvre.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shd w:fill="0D47A1" w:color="auto" w:val="clear"/>
            <w:tcMar>
              <w:top w:type="dxa" w:w="60"/>
              <w:left w:type="dxa" w:w="100"/>
              <w:bottom w:type="dxa" w:w="60"/>
              <w:right w:type="dxa" w:w="100"/>
            </w:tcMar>
          </w:tcPr>
          <w:p>
            <w:r>
              <w:rPr>
                <w:b/>
                <w:bCs/>
                <w:color w:val="FFFFFF"/>
              </w:rPr>
              <w:t xml:space="preserve">Principe</w:t>
            </w:r>
          </w:p>
        </w:tc>
        <w:tc>
          <w:tcPr>
            <w:shd w:fill="0D47A1" w:color="auto" w:val="clear"/>
            <w:tcMar>
              <w:top w:type="dxa" w:w="60"/>
              <w:left w:type="dxa" w:w="100"/>
              <w:bottom w:type="dxa" w:w="60"/>
              <w:right w:type="dxa" w:w="100"/>
            </w:tcMar>
          </w:tcPr>
          <w:p>
            <w:r>
              <w:rPr>
                <w:b/>
                <w:bCs/>
                <w:color w:val="FFFFFF"/>
              </w:rPr>
              <w:t xml:space="preserve">Portée</w:t>
            </w:r>
          </w:p>
        </w:tc>
      </w:tr>
      <w:tr>
        <w:tc>
          <w:tcPr>
            <w:tcW w:type="dxa" w:w="2600"/>
            <w:tcMar>
              <w:top w:type="dxa" w:w="60"/>
              <w:left w:type="dxa" w:w="100"/>
              <w:bottom w:type="dxa" w:w="60"/>
              <w:right w:type="dxa" w:w="100"/>
            </w:tcMar>
          </w:tcPr>
          <w:p>
            <w:r>
              <w:t xml:space="preserve">Intégrité</w:t>
            </w:r>
          </w:p>
        </w:tc>
        <w:tc>
          <w:tcPr>
            <w:tcW w:type="dxa" w:w="6426"/>
            <w:tcMar>
              <w:top w:type="dxa" w:w="60"/>
              <w:left w:type="dxa" w:w="100"/>
              <w:bottom w:type="dxa" w:w="60"/>
              <w:right w:type="dxa" w:w="100"/>
            </w:tcMar>
          </w:tcPr>
          <w:p>
            <w:r>
              <w:t xml:space="preserve">Être franc et honnête dans toutes les relations professionnelles et d’affaires ; ne pas s’associer sciemment à des informations fausses ou trompeuses.</w:t>
            </w:r>
          </w:p>
        </w:tc>
      </w:tr>
      <w:tr>
        <w:tc>
          <w:tcPr>
            <w:tcW w:type="dxa" w:w="2600"/>
            <w:shd w:fill="F1F5FB" w:color="auto" w:val="clear"/>
            <w:tcMar>
              <w:top w:type="dxa" w:w="60"/>
              <w:left w:type="dxa" w:w="100"/>
              <w:bottom w:type="dxa" w:w="60"/>
              <w:right w:type="dxa" w:w="100"/>
            </w:tcMar>
          </w:tcPr>
          <w:p>
            <w:r>
              <w:t xml:space="preserve">Objectivité</w:t>
            </w:r>
          </w:p>
        </w:tc>
        <w:tc>
          <w:tcPr>
            <w:tcW w:type="dxa" w:w="6426"/>
            <w:shd w:fill="F1F5FB" w:color="auto" w:val="clear"/>
            <w:tcMar>
              <w:top w:type="dxa" w:w="60"/>
              <w:left w:type="dxa" w:w="100"/>
              <w:bottom w:type="dxa" w:w="60"/>
              <w:right w:type="dxa" w:w="100"/>
            </w:tcMar>
          </w:tcPr>
          <w:p>
            <w:r>
              <w:t xml:space="preserve">Ne pas laisser des partis pris, un conflit d’intérêts ou une influence indue altérer le jugement professionnel.</w:t>
            </w:r>
          </w:p>
        </w:tc>
      </w:tr>
      <w:tr>
        <w:tc>
          <w:tcPr>
            <w:tcW w:type="dxa" w:w="2600"/>
            <w:tcMar>
              <w:top w:type="dxa" w:w="60"/>
              <w:left w:type="dxa" w:w="100"/>
              <w:bottom w:type="dxa" w:w="60"/>
              <w:right w:type="dxa" w:w="100"/>
            </w:tcMar>
          </w:tcPr>
          <w:p>
            <w:r>
              <w:t xml:space="preserve">Compétence et diligence</w:t>
            </w:r>
          </w:p>
        </w:tc>
        <w:tc>
          <w:tcPr>
            <w:tcW w:type="dxa" w:w="6426"/>
            <w:tcMar>
              <w:top w:type="dxa" w:w="60"/>
              <w:left w:type="dxa" w:w="100"/>
              <w:bottom w:type="dxa" w:w="60"/>
              <w:right w:type="dxa" w:w="100"/>
            </w:tcMar>
          </w:tcPr>
          <w:p>
            <w:r>
              <w:t xml:space="preserve">Maintenir ses connaissances à niveau et agir avec soin, dans le respect des normes techniques et professionnelles applicables.</w:t>
            </w:r>
          </w:p>
        </w:tc>
      </w:tr>
      <w:tr>
        <w:tc>
          <w:tcPr>
            <w:tcW w:type="dxa" w:w="2600"/>
            <w:shd w:fill="F1F5FB" w:color="auto" w:val="clear"/>
            <w:tcMar>
              <w:top w:type="dxa" w:w="60"/>
              <w:left w:type="dxa" w:w="100"/>
              <w:bottom w:type="dxa" w:w="60"/>
              <w:right w:type="dxa" w:w="100"/>
            </w:tcMar>
          </w:tcPr>
          <w:p>
            <w:r>
              <w:t xml:space="preserve">Confidentialité</w:t>
            </w:r>
          </w:p>
        </w:tc>
        <w:tc>
          <w:tcPr>
            <w:tcW w:type="dxa" w:w="6426"/>
            <w:shd w:fill="F1F5FB" w:color="auto" w:val="clear"/>
            <w:tcMar>
              <w:top w:type="dxa" w:w="60"/>
              <w:left w:type="dxa" w:w="100"/>
              <w:bottom w:type="dxa" w:w="60"/>
              <w:right w:type="dxa" w:w="100"/>
            </w:tcMar>
          </w:tcPr>
          <w:p>
            <w:r>
              <w:t xml:space="preserve">Respecter la confidentialité des informations obtenues ; ne pas les divulguer ni les utiliser sans autorisation ou obligation légale.</w:t>
            </w:r>
          </w:p>
        </w:tc>
      </w:tr>
      <w:tr>
        <w:tc>
          <w:tcPr>
            <w:tcW w:type="dxa" w:w="2600"/>
            <w:tcMar>
              <w:top w:type="dxa" w:w="60"/>
              <w:left w:type="dxa" w:w="100"/>
              <w:bottom w:type="dxa" w:w="60"/>
              <w:right w:type="dxa" w:w="100"/>
            </w:tcMar>
          </w:tcPr>
          <w:p>
            <w:r>
              <w:t xml:space="preserve">Comportement professionnel</w:t>
            </w:r>
          </w:p>
        </w:tc>
        <w:tc>
          <w:tcPr>
            <w:tcW w:type="dxa" w:w="6426"/>
            <w:tcMar>
              <w:top w:type="dxa" w:w="60"/>
              <w:left w:type="dxa" w:w="100"/>
              <w:bottom w:type="dxa" w:w="60"/>
              <w:right w:type="dxa" w:w="100"/>
            </w:tcMar>
          </w:tcPr>
          <w:p>
            <w:r>
              <w:t xml:space="preserve">Se conformer aux lois et règlements et éviter tout comportement de nature à discréditer la profession.</w:t>
            </w:r>
          </w:p>
        </w:tc>
      </w:tr>
    </w:tbl>
    <w:p>
      <w:pPr>
        <w:pStyle w:val="Heading1"/>
      </w:pPr>
      <w:r>
        <w:t xml:space="preserve">3. Cadre conceptuel et menaces</w:t>
      </w:r>
    </w:p>
    <w:p>
      <w:pPr>
        <w:pStyle w:val="Heading2"/>
      </w:pPr>
      <w:r>
        <w:t xml:space="preserve">Une démarche en trois temps</w:t>
      </w:r>
    </w:p>
    <w:p>
      <w:r>
        <w:t xml:space="preserve">Le cadre conceptuel guide le professionnel face aux situations qui peuvent compromettre le respect des principes fondamentaux. Il repose sur trois étapes.</w:t>
      </w:r>
    </w:p>
    <w:p>
      <w:pPr>
        <w:pStyle w:val="ListParagraph"/>
        <w:numPr>
          <w:ilvl w:val="0"/>
          <w:numId w:val="2"/>
        </w:numPr>
      </w:pPr>
      <w:r>
        <w:t xml:space="preserve">Identifier les menaces qui pèsent sur le respect des principes fondamentaux.</w:t>
      </w:r>
    </w:p>
    <w:p>
      <w:pPr>
        <w:pStyle w:val="ListParagraph"/>
        <w:numPr>
          <w:ilvl w:val="0"/>
          <w:numId w:val="2"/>
        </w:numPr>
      </w:pPr>
      <w:r>
        <w:t xml:space="preserve">Évaluer l’importance de ces menaces.</w:t>
      </w:r>
    </w:p>
    <w:p>
      <w:pPr>
        <w:pStyle w:val="ListParagraph"/>
        <w:numPr>
          <w:ilvl w:val="0"/>
          <w:numId w:val="2"/>
        </w:numPr>
      </w:pPr>
      <w:r>
        <w:t xml:space="preserve">Répondre en éliminant les circonstances à l’origine de la menace, en appliquant des sauvegardes qui la ramènent à un niveau acceptable, ou en refusant ou en mettant fin à la mission lorsque cela n’est pas possible.</w:t>
      </w:r>
    </w:p>
    <w:p>
      <w:pPr>
        <w:pStyle w:val="Heading2"/>
      </w:pPr>
      <w:r>
        <w:t xml:space="preserve">Les cinq catégories de menaces</w:t>
      </w:r>
    </w:p>
    <w:p>
      <w:pPr>
        <w:pStyle w:val="ListParagraph"/>
        <w:numPr>
          <w:ilvl w:val="0"/>
          <w:numId w:val="1"/>
        </w:numPr>
      </w:pPr>
      <w:r>
        <w:t xml:space="preserve">Intérêt personnel — un intérêt financier ou autre influence indûment le jugement ou le comportement.</w:t>
      </w:r>
    </w:p>
    <w:p>
      <w:pPr>
        <w:pStyle w:val="ListParagraph"/>
        <w:numPr>
          <w:ilvl w:val="0"/>
          <w:numId w:val="1"/>
        </w:numPr>
      </w:pPr>
      <w:r>
        <w:t xml:space="preserve">Auto-révision — le professionnel évalue un travail qu’il a lui-même réalisé.</w:t>
      </w:r>
    </w:p>
    <w:p>
      <w:pPr>
        <w:pStyle w:val="ListParagraph"/>
        <w:numPr>
          <w:ilvl w:val="0"/>
          <w:numId w:val="1"/>
        </w:numPr>
      </w:pPr>
      <w:r>
        <w:t xml:space="preserve">Représentation — le professionnel prend parti pour un client au point de compromettre son objectivité.</w:t>
      </w:r>
    </w:p>
    <w:p>
      <w:pPr>
        <w:pStyle w:val="ListParagraph"/>
        <w:numPr>
          <w:ilvl w:val="0"/>
          <w:numId w:val="1"/>
        </w:numPr>
      </w:pPr>
      <w:r>
        <w:t xml:space="preserve">Familiarité — une relation étroite ou ancienne conduit à trop de complaisance.</w:t>
      </w:r>
    </w:p>
    <w:p>
      <w:pPr>
        <w:pStyle w:val="ListParagraph"/>
        <w:numPr>
          <w:ilvl w:val="0"/>
          <w:numId w:val="1"/>
        </w:numPr>
      </w:pPr>
      <w:r>
        <w:t xml:space="preserve">Intimidation — des pressions réelles ou perçues dissuadent d’agir avec objectivité.</w:t>
      </w:r>
    </w:p>
    <w:p>
      <w:pPr>
        <w:spacing w:after="120"/>
      </w:pPr>
      <w:r>
        <w:rPr>
          <w:b/>
          <w:bCs/>
        </w:rPr>
        <w:t xml:space="preserve">Scepticisme et jugement professionnels : </w:t>
      </w:r>
      <w:r>
        <w:t xml:space="preserve">le professionnel garde un esprit critique et exerce son jugement. Le test du tiers raisonnable et éclairé permet d’apprécier une situation : une personne raisonnable, disposant des informations pertinentes, conclurait-elle que les menaces sont ramenées à un niveau acceptable ?</w:t>
      </w:r>
    </w:p>
    <w:p>
      <w:pPr>
        <w:pStyle w:val="Heading1"/>
      </w:pPr>
      <w:r>
        <w:t xml:space="preserve">4. Indépendance et dépendance économique</w:t>
      </w:r>
    </w:p>
    <w:p>
      <w:r>
        <w:t xml:space="preserve">L’indépendance s’apprécie à la fois en fait, c’est-à-dire dans l’état d’esprit qui permet d’exprimer une conclusion sans être affecté par des influences, et en apparence, c’est-à-dire au regard de ce qu’un tiers pourrait raisonnablement en penser.</w:t>
      </w:r>
    </w:p>
    <w:p>
      <w:pPr>
        <w:pStyle w:val="Heading2"/>
      </w:pPr>
      <w:r>
        <w:t xml:space="preserve">La dépendance économique</w:t>
      </w:r>
    </w:p>
    <w:p>
      <w:r>
        <w:t xml:space="preserve">Lorsque les honoraires versés par un même client, ou par un groupe de clients liés, représentent une part importante des honoraires totaux du cabinet, une menace liée à l’intérêt personnel et à l’intimidation apparaît : la crainte de perdre le client peut peser sur le jugement. Le seuil de référence évoqué est de quinze pour cent des honoraires totaux du cabinet ; au-delà, des mesures s’imposent, comme l’information des personnes constituant le gouvernement d’entreprise et un examen des travaux par un professionnel qui n’a pas participé à la mission.</w:t>
      </w:r>
    </w:p>
    <w:p>
      <w:pPr>
        <w:spacing w:after="120"/>
      </w:pPr>
      <w:r>
        <w:rPr>
          <w:b/>
          <w:bCs/>
        </w:rPr>
        <w:t xml:space="preserve">Indépendance juridique et dépendance économique : </w:t>
      </w:r>
      <w:r>
        <w:t xml:space="preserve">un cabinet peut être parfaitement indépendant sur le plan juridique — aucun lien de capital ni de direction avec le client — tout en étant économiquement dépendant si ce client pèse trop lourd dans son chiffre d’affaires. Les deux notions doivent être appréciées séparément.</w:t>
      </w:r>
    </w:p>
    <w:p>
      <w:pPr>
        <w:pStyle w:val="Heading2"/>
      </w:pPr>
      <w:r>
        <w:t xml:space="preserve">Liens familiaux et personnels</w:t>
      </w:r>
    </w:p>
    <w:p>
      <w:r>
        <w:t xml:space="preserve">Les relations familiales et personnelles engendrent des menaces de familiarité et d’intérêt personnel. Les liens de parenté, appréciés jusqu’au quatrième degré, sont pris en compte pour déterminer si un membre de l’équipe de mission ou du cabinet se trouve dans une situation qui compromet l’indépendance. Selon l’importance de la menace, des sauvegardes sont mises en place ou la personne concernée est retirée de la mission.</w:t>
      </w:r>
    </w:p>
    <w:p>
      <w:pPr>
        <w:pStyle w:val="Heading1"/>
      </w:pPr>
      <w:r>
        <w:t xml:space="preserve">5. Communication et incompatibilités</w:t>
      </w:r>
    </w:p>
    <w:p>
      <w:pPr>
        <w:pStyle w:val="Heading2"/>
      </w:pPr>
      <w:r>
        <w:t xml:space="preserve">Ce que la communication autorise</w:t>
      </w:r>
    </w:p>
    <w:p>
      <w:r>
        <w:t xml:space="preserve">Le professionnel peut faire connaître ses services, mais sa communication doit rester honnête et loyale. Elle ne doit pas exagérer les prestations offertes, ni contenir d’affirmations trompeuses, ni dénigrer les confrères. Le choix des canaux et le ton employé relèvent du principe de comportement professionnel : il s’agit de ne pas porter atteinte à l’image de la profession.</w:t>
      </w:r>
    </w:p>
    <w:p>
      <w:r>
        <w:t xml:space="preserve">Le mécénat et le parrainage sont admis dans des limites qui préservent l’objectivité et l’indépendance, et qui ne créent pas d’attente de traitement de faveur.</w:t>
      </w:r>
    </w:p>
    <w:p>
      <w:pPr>
        <w:pStyle w:val="Heading2"/>
      </w:pPr>
      <w:r>
        <w:t xml:space="preserve">Diriger ou détenir une société commerciale</w:t>
      </w:r>
    </w:p>
    <w:p>
      <w:pPr>
        <w:spacing w:after="120"/>
      </w:pPr>
      <w:r>
        <w:rPr>
          <w:b/>
          <w:bCs/>
        </w:rPr>
        <w:t xml:space="preserve">Une distinction essentielle : </w:t>
      </w:r>
      <w:r>
        <w:t xml:space="preserve">diriger une société commerciale — y exercer des fonctions de direction ou de gestion — est en principe incompatible avec l’exercice de la profession comptable, car cela compromet l’indépendance et l’objectivité. En revanche, détenir une participation dans une telle société, en simple investisseur, peut être admis, sous réserve des règles d’indépendance applicables aux clients concernés.</w:t>
      </w:r>
    </w:p>
    <w:p>
      <w:pPr>
        <w:pStyle w:val="Heading1"/>
      </w:pPr>
      <w:r>
        <w:t xml:space="preserve">6. Questions et réponses</w:t>
      </w:r>
    </w:p>
    <w:p>
      <w:pPr>
        <w:pStyle w:val="Heading2"/>
      </w:pPr>
      <w:r>
        <w:t xml:space="preserve">Peut-on accepter un cadeau d’un client ?</w:t>
      </w:r>
    </w:p>
    <w:p>
      <w:r>
        <w:t xml:space="preserve">Les cadeaux et marques d’hospitalité sont des avantages qui peuvent chercher à influencer le comportement. Ils ne sont acceptables que lorsqu’ils sont manifestement insignifiants et sans conséquence, et sans intention d’influer sur le jugement. Dès qu’un cadeau pourrait raisonnablement être perçu comme cherchant à obtenir un traitement de faveur, il doit être refusé.</w:t>
      </w:r>
    </w:p>
    <w:p>
      <w:pPr>
        <w:pStyle w:val="Heading2"/>
      </w:pPr>
      <w:r>
        <w:t xml:space="preserve">Un vêtement publicitaire remis par un client pose-t-il problème ?</w:t>
      </w:r>
    </w:p>
    <w:p>
      <w:r>
        <w:t xml:space="preserve">Il faut distinguer deux gestes. Accepter un vêtement publicitaire, comme un simple objet, est admis. Le porter dans l’exercice professionnel pose en revanche problème : le professionnel devient alors un support de promotion pour le client ou sa marque, ce qui met en cause l’apparence d’objectivité et le comportement professionnel attendus.</w:t>
      </w:r>
    </w:p>
    <w:p>
      <w:pPr>
        <w:pStyle w:val="Heading2"/>
      </w:pPr>
      <w:r>
        <w:t xml:space="preserve">Peut-on travailler au domicile du client ?</w:t>
      </w:r>
    </w:p>
    <w:p>
      <w:r>
        <w:t xml:space="preserve">Travailler au domicile du client renforce la proximité et peut créer une menace de familiarité, tout en soulevant des questions de confidentialité et d’apparence d’indépendance. Il convient de conserver la distance professionnelle nécessaire, de protéger les informations confidentielles et de privilégier, lorsque c’est possible, un cadre neutre.</w:t>
      </w:r>
    </w:p>
    <w:p>
      <w:pPr>
        <w:pStyle w:val="Heading2"/>
      </w:pPr>
      <w:r>
        <w:t xml:space="preserve">Peut-on recruter le fils d’un dirigeant du client ?</w:t>
      </w:r>
    </w:p>
    <w:p>
      <w:r>
        <w:t xml:space="preserve">Le recrutement d’un proche d’un dirigeant du client crée des menaces de familiarité et d’intérêt personnel. La situation doit être évaluée : si la personne intervient dans l’équipe de mission concernée, des sauvegardes sont nécessaires ou elle en est écartée, afin de préserver l’objectivité et l’indépendance.</w:t>
      </w:r>
    </w:p>
    <w:p>
      <w:pPr>
        <w:pStyle w:val="Heading2"/>
      </w:pPr>
      <w:r>
        <w:t xml:space="preserve">Qu’est-ce que la menace d’auto-révision ?</w:t>
      </w:r>
    </w:p>
    <w:p>
      <w:r>
        <w:t xml:space="preserve">Elle survient lorsqu’un professionnel est amené à évaluer un travail qu’il a lui-même réalisé — par exemple contrôler des comptes qu’il a établis. Le regard critique s’en trouve compromis. Pour un client d’audit, certains services sont dès lors prohibés ; dans les autres cas, on recourt à des équipes distinctes et à des sauvegardes appropriées.</w:t>
      </w:r>
    </w:p>
    <w:p>
      <w:pPr>
        <w:pStyle w:val="Heading2"/>
      </w:pPr>
      <w:r>
        <w:t xml:space="preserve">Peut-on assumer l’administration provisoire d’un client ?</w:t>
      </w:r>
    </w:p>
    <w:p>
      <w:r>
        <w:t xml:space="preserve">Assumer l’administration provisoire d’un client revient à endosser une responsabilité de direction. Cela engendre des menaces d’auto-révision et d’intérêt personnel et se révèle incompatible avec une mission d’audit ou d’assurance auprès de ce même client.</w:t>
      </w:r>
    </w:p>
    <w:p>
      <w:pPr>
        <w:pStyle w:val="Heading2"/>
      </w:pPr>
      <w:r>
        <w:t xml:space="preserve">Comment traiter un conflit d’intérêts ?</w:t>
      </w:r>
    </w:p>
    <w:p>
      <w:r>
        <w:t xml:space="preserve">Le conflit d’intérêts — entre deux clients, ou entre le client et le cabinet — doit d’abord être identifié. Il faut ensuite en informer les parties concernées, recueillir leur accord et mettre en place des sauvegardes telles que des équipes séparées et des barrières à la circulation de l’information. Lorsque le conflit ne peut pas être géré de manière satisfaisante, la mission est refusée.</w:t>
      </w:r>
    </w:p>
    <w:p>
      <w:pPr>
        <w:pStyle w:val="Heading1"/>
      </w:pPr>
      <w:r>
        <w:t xml:space="preserve">Conclusion</w:t>
      </w:r>
    </w:p>
    <w:p>
      <w:r>
        <w:t xml:space="preserve">La déontologie repose sur des principes fondamentaux et sur un cadre conceptuel qui appelle un jugement éclairé plutôt qu’une simple application mécanique de règles. Identifier les menaces, en évaluer l’importance et y répondre, préserver l’indépendance en fait et en apparence, et communiquer avec loyauté : telles sont les exigences qui protègent la confiance du public et l’image de la profession.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Déontologie des professionnels comptables — Synthèse Module 5</dc:title>
  <dc:creator>DECOFI · FOAD CESAG</dc:creator>
  <dc:description>Synthèse des grandes lignes du webinaire du Module 5, Journées Techniques 2026.</dc:description>
  <cp:lastModifiedBy>Un-named</cp:lastModifiedBy>
  <cp:revision>1</cp:revision>
  <dcterms:created xsi:type="dcterms:W3CDTF">2026-09-20T21:45:44.627Z</dcterms:created>
  <dcterms:modified xsi:type="dcterms:W3CDTF">2026-09-20T21:45:44.627Z</dcterms:modified>
</cp:coreProperties>
</file>

<file path=docProps/custom.xml><?xml version="1.0" encoding="utf-8"?>
<Properties xmlns="http://schemas.openxmlformats.org/officeDocument/2006/custom-properties" xmlns:vt="http://schemas.openxmlformats.org/officeDocument/2006/docPropsVTypes"/>
</file>