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Circularisation des tiers et inventaires de stocks</w:t>
      </w:r>
    </w:p>
    <w:p>
      <w:pPr>
        <w:jc w:val="center"/>
      </w:pPr>
      <w:r>
        <w:rPr>
          <w:b/>
          <w:sz w:val="26"/>
        </w:rPr>
        <w:t>Synthèse des grandes lignes du webinaire</w:t>
      </w:r>
    </w:p>
    <w:p>
      <w:pPr>
        <w:jc w:val="center"/>
      </w:pPr>
      <w:r>
        <w:t>Session 1 · Module 4 · 2 septembre 2026 · Mme Dicko Selly DIOP</w:t>
      </w:r>
    </w:p>
    <w:p>
      <w:pPr>
        <w:pStyle w:val="Heading1"/>
      </w:pPr>
      <w:r>
        <w:t>Objectif du webinaire</w:t>
      </w:r>
    </w:p>
    <w:p>
      <w:r>
        <w:t>Le webinaire présente deux procédures essentielles de collecte d’éléments probants : la confirmation externe des tiers et l’assistance à l’inventaire physique des stocks. Elles permettent d’apprécier la fiabilité des soldes comptables et la sincérité des états financiers.</w:t>
      </w:r>
    </w:p>
    <w:p>
      <w:pPr>
        <w:pStyle w:val="Heading1"/>
      </w:pPr>
      <w:r>
        <w:t>Grandes lignes à retenir</w:t>
      </w:r>
    </w:p>
    <w:p>
      <w:pPr>
        <w:pStyle w:val="ListBullet"/>
      </w:pPr>
      <w:r>
        <w:t>L’auditeur doit conserver la maîtrise de la circularisation : choix des tiers, préparation, envoi, relances et réception des réponses.</w:t>
      </w:r>
    </w:p>
    <w:p>
      <w:pPr>
        <w:pStyle w:val="ListBullet"/>
      </w:pPr>
      <w:r>
        <w:t>Les banques, clients, fournisseurs et avocats figurent parmi les tiers les plus souvent sollicités.</w:t>
      </w:r>
    </w:p>
    <w:p>
      <w:pPr>
        <w:pStyle w:val="ListBullet"/>
      </w:pPr>
      <w:r>
        <w:t>Toute différence entre la réponse du tiers et la comptabilité doit être expliquée et justifiée.</w:t>
      </w:r>
    </w:p>
    <w:p>
      <w:pPr>
        <w:pStyle w:val="ListBullet"/>
      </w:pPr>
      <w:r>
        <w:t>En l’absence de réponse, l’auditeur relance puis applique des procédures alternatives adaptées.</w:t>
      </w:r>
    </w:p>
    <w:p>
      <w:pPr>
        <w:pStyle w:val="ListBullet"/>
      </w:pPr>
      <w:r>
        <w:t>L’entité reste responsable de l’organisation et du comptage exhaustif des stocks.</w:t>
      </w:r>
    </w:p>
    <w:p>
      <w:pPr>
        <w:pStyle w:val="ListBullet"/>
      </w:pPr>
      <w:r>
        <w:t>L’auditeur observe l’inventaire et effectue des tests par sondage ; il ne compte pas nécessairement l’intégralité du stock.</w:t>
      </w:r>
    </w:p>
    <w:p>
      <w:pPr>
        <w:pStyle w:val="ListBullet"/>
      </w:pPr>
      <w:r>
        <w:t>Les stocks détériorés, obsolètes ou à rotation lente doivent être identifiés afin d’apprécier les dépréciations nécessaires.</w:t>
      </w:r>
    </w:p>
    <w:p>
      <w:pPr>
        <w:pStyle w:val="Heading1"/>
      </w:pPr>
      <w:r>
        <w:t>1. Circularisation des tiers</w:t>
      </w:r>
    </w:p>
    <w:p>
      <w:r>
        <w:t>La confirmation externe consiste à obtenir directement auprès d’un tiers une information sur un solde, une opération, un engagement ou un litige. La preuve est d’autant plus fiable que la réponse provient d’une source indépendante et parvient directement à l’auditeur.</w:t>
      </w:r>
    </w:p>
    <w:tbl>
      <w:tblPr>
        <w:tblW w:type="auto" w:w="0"/>
        <w:tblLayout w:type="fixed"/>
        <w:tblLook w:firstColumn="1" w:firstRow="1" w:lastColumn="0" w:lastRow="0" w:noHBand="0" w:noVBand="1" w:val="04A0"/>
      </w:tblPr>
      <w:tblGrid>
        <w:gridCol w:w="2448"/>
        <w:gridCol w:w="7200"/>
      </w:tblGrid>
      <w:tr>
        <w:tc>
          <w:tcPr>
            <w:tcW w:type="dxa" w:w="4896"/>
            <w:vAlign w:val="center"/>
            <w:shd w:fill="0D47A1"/>
          </w:tcPr>
          <w:p>
            <w:r>
              <w:rPr>
                <w:b/>
                <w:color w:val="FFFFFF"/>
              </w:rPr>
              <w:t>Tiers</w:t>
            </w:r>
          </w:p>
        </w:tc>
        <w:tc>
          <w:tcPr>
            <w:tcW w:type="dxa" w:w="4896"/>
            <w:vAlign w:val="center"/>
            <w:shd w:fill="0D47A1"/>
          </w:tcPr>
          <w:p>
            <w:r>
              <w:rPr>
                <w:b/>
                <w:color w:val="FFFFFF"/>
              </w:rPr>
              <w:t>Informations recherchées</w:t>
            </w:r>
          </w:p>
        </w:tc>
      </w:tr>
      <w:tr>
        <w:tc>
          <w:tcPr>
            <w:tcW w:type="dxa" w:w="2448"/>
            <w:vAlign w:val="center"/>
          </w:tcPr>
          <w:p>
            <w:r>
              <w:t>Banques</w:t>
            </w:r>
          </w:p>
        </w:tc>
        <w:tc>
          <w:tcPr>
            <w:tcW w:type="dxa" w:w="7200"/>
            <w:vAlign w:val="center"/>
          </w:tcPr>
          <w:p>
            <w:r>
              <w:t>Soldes, comptes, emprunts, garanties, engagements et signataires.</w:t>
            </w:r>
          </w:p>
        </w:tc>
      </w:tr>
      <w:tr>
        <w:tc>
          <w:tcPr>
            <w:tcW w:type="dxa" w:w="2448"/>
            <w:vAlign w:val="center"/>
          </w:tcPr>
          <w:p>
            <w:r>
              <w:t>Clients et fournisseurs</w:t>
            </w:r>
          </w:p>
        </w:tc>
        <w:tc>
          <w:tcPr>
            <w:tcW w:type="dxa" w:w="7200"/>
            <w:vAlign w:val="center"/>
          </w:tcPr>
          <w:p>
            <w:r>
              <w:t>Soldes, factures, avoirs, règlements et opérations en rapprochement.</w:t>
            </w:r>
          </w:p>
        </w:tc>
      </w:tr>
      <w:tr>
        <w:tc>
          <w:tcPr>
            <w:tcW w:type="dxa" w:w="2448"/>
            <w:vAlign w:val="center"/>
          </w:tcPr>
          <w:p>
            <w:r>
              <w:t>Avocats</w:t>
            </w:r>
          </w:p>
        </w:tc>
        <w:tc>
          <w:tcPr>
            <w:tcW w:type="dxa" w:w="7200"/>
            <w:vAlign w:val="center"/>
          </w:tcPr>
          <w:p>
            <w:r>
              <w:t>Litiges, probabilité d’issue défavorable, estimation financière et honoraires non facturés.</w:t>
            </w:r>
          </w:p>
        </w:tc>
      </w:tr>
    </w:tbl>
    <w:p>
      <w:pPr>
        <w:pStyle w:val="Heading1"/>
      </w:pPr>
      <w:r>
        <w:t>2. Réponses et procédures alternatives</w:t>
      </w:r>
    </w:p>
    <w:p>
      <w:pPr>
        <w:pStyle w:val="ListNumber"/>
      </w:pPr>
      <w:r>
        <w:t>Relancer le tiers lorsqu’aucune réponse n’est reçue.</w:t>
      </w:r>
    </w:p>
    <w:p>
      <w:pPr>
        <w:pStyle w:val="ListNumber"/>
      </w:pPr>
      <w:r>
        <w:t>Vérifier l’authenticité et la pertinence de chaque réponse.</w:t>
      </w:r>
    </w:p>
    <w:p>
      <w:pPr>
        <w:pStyle w:val="ListNumber"/>
      </w:pPr>
      <w:r>
        <w:t>Rapprocher les écarts avec la comptabilité et obtenir les justificatifs.</w:t>
      </w:r>
    </w:p>
    <w:p>
      <w:pPr>
        <w:pStyle w:val="ListNumber"/>
      </w:pPr>
      <w:r>
        <w:t>À défaut de réponse, contrôler notamment les règlements postérieurs, factures, bons de livraison, relevés et autres pièces disponibles.</w:t>
      </w:r>
    </w:p>
    <w:p>
      <w:pPr>
        <w:pStyle w:val="ListNumber"/>
      </w:pPr>
      <w:r>
        <w:t>Évaluer l’incidence d’une limitation persistante sur les conclusions et, si nécessaire, sur l’opinion.</w:t>
      </w:r>
    </w:p>
    <w:p>
      <w:pPr>
        <w:pStyle w:val="Heading1"/>
      </w:pPr>
      <w:r>
        <w:t>3. Inventaire physique des stocks</w:t>
      </w:r>
    </w:p>
    <w:p>
      <w:pPr>
        <w:pStyle w:val="Heading2"/>
      </w:pPr>
      <w:r>
        <w:t>Avant et pendant le comptage</w:t>
      </w:r>
    </w:p>
    <w:p>
      <w:pPr>
        <w:pStyle w:val="ListBullet"/>
      </w:pPr>
      <w:r>
        <w:t>Formaliser les instructions et répartir les responsabilités.</w:t>
      </w:r>
    </w:p>
    <w:p>
      <w:pPr>
        <w:pStyle w:val="ListBullet"/>
      </w:pPr>
      <w:r>
        <w:t>Ranger, identifier et codifier les articles et les zones.</w:t>
      </w:r>
    </w:p>
    <w:p>
      <w:pPr>
        <w:pStyle w:val="ListBullet"/>
      </w:pPr>
      <w:r>
        <w:t>Contrôler les mouvements, les feuilles de comptage et les risques de double comptage.</w:t>
      </w:r>
    </w:p>
    <w:p>
      <w:pPr>
        <w:pStyle w:val="ListBullet"/>
      </w:pPr>
      <w:r>
        <w:t>Isoler les stocks de tiers, les biens vendus et les articles détériorés.</w:t>
      </w:r>
    </w:p>
    <w:p>
      <w:pPr>
        <w:pStyle w:val="ListBullet"/>
      </w:pPr>
      <w:r>
        <w:t>Marquer ou suivre les zones déjà inventoriées.</w:t>
      </w:r>
    </w:p>
    <w:p>
      <w:pPr>
        <w:pStyle w:val="Heading2"/>
      </w:pPr>
      <w:r>
        <w:t>Après le comptage</w:t>
      </w:r>
    </w:p>
    <w:p>
      <w:r>
        <w:t>Les résultats physiques sont rapprochés du stock théorique et de la comptabilité. Les écarts sont analysés, justifiés et corrigés. L’état des articles est pris en compte pour la valorisation et les dépréciations éventuelles.</w:t>
      </w:r>
    </w:p>
    <w:p>
      <w:pPr>
        <w:pStyle w:val="Heading1"/>
      </w:pPr>
      <w:r>
        <w:t>4. Travaux de l’auditeur</w:t>
      </w:r>
    </w:p>
    <w:p>
      <w:r>
        <w:t>L’auditeur observe l’application des instructions, inspecte l’état des stocks et réalise des tests par sondage dans les deux sens : de l’état de stock vers les articles physiques pour tester l’existence, puis des articles physiques vers l’état de stock pour apprécier la complétude. Il contrôle également la séparation des exercices et la valorisation.</w:t>
      </w:r>
    </w:p>
    <w:p>
      <w:r>
        <w:rPr>
          <w:b/>
        </w:rPr>
        <w:t xml:space="preserve">Point de vigilance : </w:t>
      </w:r>
      <w:r>
        <w:t>un sondage ne constitue pas un comptage exhaustif. Les conclusions et les papiers de travail doivent refléter précisément l’étendue des contrôles réalisés.</w:t>
      </w:r>
    </w:p>
    <w:p>
      <w:pPr>
        <w:pStyle w:val="Heading1"/>
      </w:pPr>
      <w:r>
        <w:t>Conclusion</w:t>
      </w:r>
    </w:p>
    <w:p>
      <w:r>
        <w:t>La qualité des résultats dépend de la préparation des procédures, de la maîtrise des échanges avec les tiers, de la traçabilité des contrôles et de l’analyse rigoureuse des écarts. L’éthique, l’indépendance et le jugement professionnel restent au cœur de la mission.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DECOFI · FOAD CESAG · Journées Techniques 2026 · Module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 du Module 4 Circularisation des tiers et inventaires de stocks</dc:title>
  <dc:subject>Grandes lignes du webinaire du 2 septembre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