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B7A"/>
        </w:rPr>
        <w:t>TRANSCRIPTION PÉDAGOGIQUE RESTRUCTURÉE</w:t>
      </w:r>
    </w:p>
    <w:p>
      <w:pPr>
        <w:jc w:val="center"/>
      </w:pPr>
      <w:r>
        <w:rPr>
          <w:b/>
          <w:color w:val="0D47A1"/>
          <w:sz w:val="44"/>
        </w:rPr>
        <w:t>Notions et approche fiscale par l’expert-comptable</w:t>
      </w:r>
    </w:p>
    <w:p>
      <w:pPr>
        <w:jc w:val="center"/>
      </w:pPr>
      <w:r>
        <w:t>Synthèse pédagogique et questions-réponses du webinaire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t>Session 2 · Module 1 (JT 1.2)</w:t>
            </w:r>
          </w:p>
        </w:tc>
      </w:tr>
      <w:tr>
        <w:tc>
          <w:tcPr>
            <w:tcW w:type="dxa" w:w="4320"/>
          </w:tcPr>
          <w:p>
            <w:r>
              <w:rPr>
                <w:b/>
              </w:rPr>
              <w:t>Intervenant</w:t>
            </w:r>
          </w:p>
        </w:tc>
        <w:tc>
          <w:tcPr>
            <w:tcW w:type="dxa" w:w="4320"/>
          </w:tcPr>
          <w:p>
            <w:r>
              <w:t>M. Hamadé OUEDRAOGO (CNS Burkina Faso)</w:t>
            </w:r>
          </w:p>
        </w:tc>
      </w:tr>
      <w:tr>
        <w:tc>
          <w:tcPr>
            <w:tcW w:type="dxa" w:w="4320"/>
          </w:tcPr>
          <w:p>
            <w:r>
              <w:rPr>
                <w:b/>
              </w:rPr>
              <w:t>Date</w:t>
            </w:r>
          </w:p>
        </w:tc>
        <w:tc>
          <w:tcPr>
            <w:tcW w:type="dxa" w:w="4320"/>
          </w:tcPr>
          <w:p>
            <w:r>
              <w:t>8 octobre 2026</w:t>
            </w:r>
          </w:p>
        </w:tc>
      </w:tr>
      <w:tr>
        <w:tc>
          <w:tcPr>
            <w:tcW w:type="dxa" w:w="4320"/>
          </w:tcPr>
          <w:p>
            <w:r>
              <w:rPr>
                <w:b/>
              </w:rPr>
              <w:t>Durée</w:t>
            </w:r>
          </w:p>
        </w:tc>
        <w:tc>
          <w:tcPr>
            <w:tcW w:type="dxa" w:w="4320"/>
          </w:tcPr>
          <w:p>
            <w:r>
              <w:t>1 h 40 min</w:t>
            </w:r>
          </w:p>
        </w:tc>
      </w:tr>
    </w:tbl>
    <w:p/>
    <w:p>
      <w:r>
        <w:rPr>
          <w:b/>
        </w:rPr>
        <w:t xml:space="preserve">Note éditoriale. </w:t>
      </w:r>
      <w:r>
        <w:t>Le texte a été corrigé et restructuré à partir de la transcription automatique. Les hésitations, répétitions, incidents techniques et échanges sans valeur pédagogique ont été supprimés, et l’identité des participants n’est pas mentionnée, sans modifier le sens des interventions.</w:t>
      </w:r>
    </w:p>
    <w:p>
      <w:pPr>
        <w:pStyle w:val="Heading1"/>
      </w:pPr>
      <w:r>
        <w:rPr>
          <w:color w:val="0D47A1"/>
        </w:rPr>
        <w:t>Ouverture du webinaire</w:t>
      </w:r>
    </w:p>
    <w:p>
      <w:r>
        <w:rPr>
          <w:b w:val="0"/>
        </w:rPr>
        <w:t>Le webinaire s’ouvre sur la présentation de l’intervenant, contrôleur national de stage et expert-comptable au Burkina Faso, puis sur le déroulé de la soirée : un exposé d’environ trente à quarante minutes, suivi d’un temps de questions-réponses, les échanges pouvant se poursuivre ensuite sur la plateforme.</w:t>
      </w:r>
    </w:p>
    <w:p>
      <w:r>
        <w:rPr>
          <w:b w:val="0"/>
        </w:rPr>
        <w:t>L’intervenant rappelle également que la plateforme de formation est accessible à tout moment, que l’activité de chaque participant y est enregistrée, et qu’aucune dérogation ne sera accordée en dehors de cas exceptionnels, tels que la maladie ou une difficulté particulière.</w:t>
      </w:r>
    </w:p>
    <w:p>
      <w:r>
        <w:rPr>
          <w:b w:val="0"/>
        </w:rPr>
        <w:t>L’exposé s’organise en trois temps : une révision des notions de fiscalité, les sources du droit fiscal, puis la place de la fiscalité dans les différentes missions de l’expert-comptable.</w:t>
      </w:r>
    </w:p>
    <w:p>
      <w:pPr>
        <w:pStyle w:val="Heading1"/>
      </w:pPr>
      <w:r>
        <w:rPr>
          <w:color w:val="0D47A1"/>
        </w:rPr>
        <w:t>Synthèse pédagogique</w:t>
      </w:r>
    </w:p>
    <w:p>
      <w:r>
        <w:rPr>
          <w:b w:val="0"/>
        </w:rPr>
        <w:t>Le webinaire rappelle les notions essentielles de fiscalité, présente les sources du droit fiscal et explique comment l’expert-comptable doit intégrer une approche fiscale dans chacune de ses missions, qu’il s’agisse d’une mission d’assurance (audit, contrôle des comptes) ou d’une mission de conseil et d’assistance.</w:t>
      </w:r>
    </w:p>
    <w:p>
      <w:r>
        <w:rPr>
          <w:b/>
        </w:rPr>
        <w:t xml:space="preserve">À retenir. </w:t>
      </w:r>
      <w:r>
        <w:t>L’approche fiscale n’est pas un audit fiscal : elle consiste à garder la fiscalité à l’esprit dans toute intervention, à repérer les zones de risque et à en mesurer les conséquences comptables, sans jamais perdre de vue l’objectif d’une image fidèle conforme au référentiel comptable.</w:t>
      </w:r>
    </w:p>
    <w:p>
      <w:pPr>
        <w:pStyle w:val="ListBullet"/>
      </w:pPr>
      <w:r>
        <w:t>La fiscalité fait partie intégrante du domaine de compétence de l’expert-comptable, quelle que soit sa mission : tenue, audit, conseil, stratégie ou gouvernance.</w:t>
      </w:r>
    </w:p>
    <w:p>
      <w:pPr>
        <w:pStyle w:val="ListBullet"/>
      </w:pPr>
      <w:r>
        <w:t>Connaître les sources du droit fiscal et leur hiérarchie est indispensable pour conseiller un client.</w:t>
      </w:r>
    </w:p>
    <w:p>
      <w:pPr>
        <w:pStyle w:val="ListBullet"/>
      </w:pPr>
      <w:r>
        <w:t>La comptabilité suit le référentiel comptable ; les écarts avec la fiscalité se traitent par des retraitements extra-comptables lors de la détermination du résultat fiscal.</w:t>
      </w:r>
    </w:p>
    <w:p>
      <w:pPr>
        <w:pStyle w:val="ListBullet"/>
      </w:pPr>
      <w:r>
        <w:t>Connaître les principaux impôts et taxes de l’entité contrôlée permet d’identifier les risques fiscaux susceptibles d’affecter la fiabilité des comptes.</w:t>
      </w:r>
    </w:p>
    <w:p>
      <w:pPr>
        <w:pStyle w:val="Heading1"/>
      </w:pPr>
      <w:r>
        <w:rPr>
          <w:color w:val="0D47A1"/>
        </w:rPr>
        <w:t>1. Notions de fiscalité</w:t>
      </w:r>
    </w:p>
    <w:p>
      <w:pPr>
        <w:pStyle w:val="Heading2"/>
      </w:pPr>
      <w:r>
        <w:rPr>
          <w:color w:val="0D47A1"/>
        </w:rPr>
        <w:t>Pourquoi ce sujet est d’actualité</w:t>
      </w:r>
    </w:p>
    <w:p>
      <w:r>
        <w:rPr>
          <w:b w:val="0"/>
        </w:rPr>
        <w:t>Dans plusieurs pays de la sous-région, de nouveaux ordres de fiscalistes voient le jour ; au Burkina Faso, l’ordre des fiscalistes a été créé en 2025. L’intervenant rappelle qu’un bon expert-comptable est nécessairement familier de la fiscalité, et qu’un bon fiscaliste doit maîtriser la comptabilité. Le cours ne vise pas à former des fiscalistes, mais à rappeler les notions utiles et la place de la fiscalité dans les différentes missions.</w:t>
      </w:r>
    </w:p>
    <w:p>
      <w:pPr>
        <w:pStyle w:val="Heading2"/>
      </w:pPr>
      <w:r>
        <w:rPr>
          <w:color w:val="0D47A1"/>
        </w:rPr>
        <w:t>Fiscalité et droit fiscal</w:t>
      </w:r>
    </w:p>
    <w:p>
      <w:r>
        <w:rPr>
          <w:b w:val="0"/>
        </w:rPr>
        <w:t xml:space="preserve">La </w:t>
      </w:r>
      <w:r>
        <w:rPr>
          <w:b/>
        </w:rPr>
        <w:t>fiscalité</w:t>
      </w:r>
      <w:r>
        <w:rPr>
          <w:b w:val="0"/>
        </w:rPr>
        <w:t xml:space="preserve"> relève de la politique économique de l’État (création de richesse, environnement économique, monnaie). Le </w:t>
      </w:r>
      <w:r>
        <w:rPr>
          <w:b/>
        </w:rPr>
        <w:t>droit fiscal</w:t>
      </w:r>
      <w:r>
        <w:rPr>
          <w:b w:val="0"/>
        </w:rPr>
        <w:t xml:space="preserve"> est l’ensemble des règles techniques et juridiques relatives à l’établissement des impôts et taxes. Pour simplifier, le webinaire ne distingue pas entre impôts et taxes : l’ensemble est désigné par le terme « impôt ».</w:t>
      </w:r>
    </w:p>
    <w:p>
      <w:pPr>
        <w:pStyle w:val="Heading2"/>
      </w:pPr>
      <w:r>
        <w:rPr>
          <w:color w:val="0D47A1"/>
        </w:rPr>
        <w:t>Définition de l’impôt</w:t>
      </w:r>
    </w:p>
    <w:p>
      <w:r>
        <w:rPr>
          <w:b w:val="0"/>
        </w:rPr>
        <w:t>L’impôt est un prélèvement pécuniaire, obligatoire, effectué à titre définitif et sans contrepartie immédiate, destiné à couvrir les charges publiques.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Caractère</w:t>
            </w:r>
          </w:p>
        </w:tc>
        <w:tc>
          <w:tcPr>
            <w:tcW w:type="dxa" w:w="4320"/>
          </w:tcPr>
          <w:p>
            <w:r>
              <w:rPr>
                <w:b/>
              </w:rPr>
              <w:t>Signification</w:t>
            </w:r>
          </w:p>
        </w:tc>
      </w:tr>
      <w:tr>
        <w:tc>
          <w:tcPr>
            <w:tcW w:type="dxa" w:w="4320"/>
          </w:tcPr>
          <w:p>
            <w:r>
              <w:t>Pécuniaire</w:t>
            </w:r>
          </w:p>
        </w:tc>
        <w:tc>
          <w:tcPr>
            <w:tcW w:type="dxa" w:w="4320"/>
          </w:tcPr>
          <w:p>
            <w:r>
              <w:t>Il est aujourd’hui payé en monnaie et non en nature.</w:t>
            </w:r>
          </w:p>
        </w:tc>
      </w:tr>
      <w:tr>
        <w:tc>
          <w:tcPr>
            <w:tcW w:type="dxa" w:w="4320"/>
          </w:tcPr>
          <w:p>
            <w:r>
              <w:t>Obligatoire</w:t>
            </w:r>
          </w:p>
        </w:tc>
        <w:tc>
          <w:tcPr>
            <w:tcW w:type="dxa" w:w="4320"/>
          </w:tcPr>
          <w:p>
            <w:r>
              <w:t>Il s’impose par la force de la loi, sauf exonération prévue par un texte.</w:t>
            </w:r>
          </w:p>
        </w:tc>
      </w:tr>
      <w:tr>
        <w:tc>
          <w:tcPr>
            <w:tcW w:type="dxa" w:w="4320"/>
          </w:tcPr>
          <w:p>
            <w:r>
              <w:t>Définitif</w:t>
            </w:r>
          </w:p>
        </w:tc>
        <w:tc>
          <w:tcPr>
            <w:tcW w:type="dxa" w:w="4320"/>
          </w:tcPr>
          <w:p>
            <w:r>
              <w:t>Il est acquis à l’administration, sans différé possible une fois les conditions remplies.</w:t>
            </w:r>
          </w:p>
        </w:tc>
      </w:tr>
      <w:tr>
        <w:tc>
          <w:tcPr>
            <w:tcW w:type="dxa" w:w="4320"/>
          </w:tcPr>
          <w:p>
            <w:r>
              <w:t>Sans contrepartie</w:t>
            </w:r>
          </w:p>
        </w:tc>
        <w:tc>
          <w:tcPr>
            <w:tcW w:type="dxa" w:w="4320"/>
          </w:tcPr>
          <w:p>
            <w:r>
              <w:t>On ne peut refuser de payer la part d’impôt finançant un service public que l’on n’utilise pas.</w:t>
            </w:r>
          </w:p>
        </w:tc>
      </w:tr>
    </w:tbl>
    <w:p/>
    <w:p>
      <w:pPr>
        <w:pStyle w:val="Heading2"/>
      </w:pPr>
      <w:r>
        <w:rPr>
          <w:color w:val="0D47A1"/>
        </w:rPr>
        <w:t>Classification administrative</w:t>
      </w:r>
    </w:p>
    <w:p>
      <w:pPr>
        <w:pStyle w:val="ListBullet"/>
      </w:pPr>
      <w:r>
        <w:rPr>
          <w:b w:val="0"/>
        </w:rPr>
      </w:r>
      <w:r>
        <w:rPr>
          <w:b/>
        </w:rPr>
        <w:t>Les éléments économiques taxés</w:t>
      </w:r>
      <w:r>
        <w:rPr>
          <w:b w:val="0"/>
        </w:rPr>
        <w:t xml:space="preserve"> : l’imposition du revenu, de la dépense et du patrimoine (capital).</w:t>
      </w:r>
    </w:p>
    <w:p>
      <w:pPr>
        <w:pStyle w:val="ListBullet"/>
      </w:pPr>
      <w:r>
        <w:rPr>
          <w:b w:val="0"/>
        </w:rPr>
      </w:r>
      <w:r>
        <w:rPr>
          <w:b/>
        </w:rPr>
        <w:t>Les facteurs économiques imposés</w:t>
      </w:r>
      <w:r>
        <w:rPr>
          <w:b w:val="0"/>
        </w:rPr>
        <w:t xml:space="preserve"> : les ménages, les entreprises, ainsi que certains secteurs ou produits (assurances, immobilier, fiscalité personnelle, etc.).</w:t>
      </w:r>
    </w:p>
    <w:p>
      <w:pPr>
        <w:pStyle w:val="Heading2"/>
      </w:pPr>
      <w:r>
        <w:rPr>
          <w:color w:val="0D47A1"/>
        </w:rPr>
        <w:t>Classification technique</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Distinction</w:t>
            </w:r>
          </w:p>
        </w:tc>
        <w:tc>
          <w:tcPr>
            <w:tcW w:type="dxa" w:w="4320"/>
          </w:tcPr>
          <w:p>
            <w:r>
              <w:rPr>
                <w:b/>
              </w:rPr>
              <w:t>Principe</w:t>
            </w:r>
          </w:p>
        </w:tc>
      </w:tr>
      <w:tr>
        <w:tc>
          <w:tcPr>
            <w:tcW w:type="dxa" w:w="4320"/>
          </w:tcPr>
          <w:p>
            <w:r>
              <w:t>Impôts directs et indirects</w:t>
            </w:r>
          </w:p>
        </w:tc>
        <w:tc>
          <w:tcPr>
            <w:tcW w:type="dxa" w:w="4320"/>
          </w:tcPr>
          <w:p>
            <w:r>
              <w:t>L’impôt est direct lorsqu’il est supporté par la personne imposée ; il est indirect lorsque l’entreprise n’est qu’un intermédiaire qui collecte la taxe pour le compte d’un tiers (cas de la TVA).</w:t>
            </w:r>
          </w:p>
        </w:tc>
      </w:tr>
      <w:tr>
        <w:tc>
          <w:tcPr>
            <w:tcW w:type="dxa" w:w="4320"/>
          </w:tcPr>
          <w:p>
            <w:r>
              <w:t>Impôts réels et personnels</w:t>
            </w:r>
          </w:p>
        </w:tc>
        <w:tc>
          <w:tcPr>
            <w:tcW w:type="dxa" w:w="4320"/>
          </w:tcPr>
          <w:p>
            <w:r>
              <w:t>L’impôt réel frappe un bien sans considération de la situation du contribuable (impôt foncier, droits de mutation). L’impôt personnel tient compte de sa situation familiale et de ses facultés contributives.</w:t>
            </w:r>
          </w:p>
        </w:tc>
      </w:tr>
      <w:tr>
        <w:tc>
          <w:tcPr>
            <w:tcW w:type="dxa" w:w="4320"/>
          </w:tcPr>
          <w:p>
            <w:r>
              <w:t>Impôts proportionnels et progressifs</w:t>
            </w:r>
          </w:p>
        </w:tc>
        <w:tc>
          <w:tcPr>
            <w:tcW w:type="dxa" w:w="4320"/>
          </w:tcPr>
          <w:p>
            <w:r>
              <w:t>Le taux est fixe dans le premier cas (par exemple l’impôt sur les sociétés) et croît avec la base imposable dans le second.</w:t>
            </w:r>
          </w:p>
        </w:tc>
      </w:tr>
    </w:tbl>
    <w:p/>
    <w:p>
      <w:pPr>
        <w:pStyle w:val="Heading2"/>
      </w:pPr>
      <w:r>
        <w:rPr>
          <w:color w:val="0D47A1"/>
        </w:rPr>
        <w:t>La problématique du revenu</w:t>
      </w:r>
    </w:p>
    <w:p>
      <w:r>
        <w:rPr>
          <w:b w:val="0"/>
        </w:rPr>
        <w:t>Imposer le revenu suppose de savoir ce que recouvre ce mot : chiffre d’affaires, autres produits, abandon de créance, donation, etc. Cette question interpelle l’expert-comptable dans toutes ses missions ; les IFRS ont d’ailleurs consacré une norme spécifique à la reconnaissance du revenu. Selon la manière dont un revenu est comptabilisé, le client peut être exposé à des risques de redressement.</w:t>
      </w:r>
    </w:p>
    <w:p>
      <w:r>
        <w:rPr>
          <w:b w:val="0"/>
        </w:rPr>
        <w:t>Toute dépense supporte par ailleurs des taxes, et la taxation de la dépense peut revenir à une taxation du capital selon qu’il s’agit d’un bien d’investissement ou de consommation. L’imposition du capital concerne principalement les transmissions et les dons.</w:t>
      </w:r>
    </w:p>
    <w:p>
      <w:pPr>
        <w:pStyle w:val="Heading1"/>
      </w:pPr>
      <w:r>
        <w:rPr>
          <w:color w:val="0D47A1"/>
        </w:rPr>
        <w:t>2. Les sources du droit fiscal</w:t>
      </w:r>
    </w:p>
    <w:p>
      <w:r>
        <w:rPr>
          <w:b w:val="0"/>
        </w:rPr>
        <w:t>Connaître les différentes sources et leur hiérarchie est primordial pour conseiller un client, d’autant que nos pays sont de plus en plus confrontés à la superposition de textes nationaux et communautaires.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w:t>
            </w:r>
          </w:p>
        </w:tc>
        <w:tc>
          <w:tcPr>
            <w:tcW w:type="dxa" w:w="4320"/>
          </w:tcPr>
          <w:p>
            <w:r>
              <w:rPr>
                <w:b/>
              </w:rPr>
              <w:t>Contenu</w:t>
            </w:r>
          </w:p>
        </w:tc>
      </w:tr>
      <w:tr>
        <w:tc>
          <w:tcPr>
            <w:tcW w:type="dxa" w:w="4320"/>
          </w:tcPr>
          <w:p>
            <w:r>
              <w:t>Constitutionnelle</w:t>
            </w:r>
          </w:p>
        </w:tc>
        <w:tc>
          <w:tcPr>
            <w:tcW w:type="dxa" w:w="4320"/>
          </w:tcPr>
          <w:p>
            <w:r>
              <w:t>L’impôt relève du domaine de la loi, qui fixe l’assiette, les taux et les modalités de recouvrement et de contrôle ; l’exécutif peut intervenir par ordonnance.</w:t>
            </w:r>
          </w:p>
        </w:tc>
      </w:tr>
      <w:tr>
        <w:tc>
          <w:tcPr>
            <w:tcW w:type="dxa" w:w="4320"/>
          </w:tcPr>
          <w:p>
            <w:r>
              <w:t>Internationale et communautaire</w:t>
            </w:r>
          </w:p>
        </w:tc>
        <w:tc>
          <w:tcPr>
            <w:tcW w:type="dxa" w:w="4320"/>
          </w:tcPr>
          <w:p>
            <w:r>
              <w:t>Les organisations régionales et continentales produisent des textes dont la place dans l’ordre juridique interne doit être appréciée.</w:t>
            </w:r>
          </w:p>
        </w:tc>
      </w:tr>
      <w:tr>
        <w:tc>
          <w:tcPr>
            <w:tcW w:type="dxa" w:w="4320"/>
          </w:tcPr>
          <w:p>
            <w:r>
              <w:t>Législative</w:t>
            </w:r>
          </w:p>
        </w:tc>
        <w:tc>
          <w:tcPr>
            <w:tcW w:type="dxa" w:w="4320"/>
          </w:tcPr>
          <w:p>
            <w:r>
              <w:t>La loi de finances annuelle, votée par le Parlement, est la source la plus connue ; elle transpose souvent des textes communautaires.</w:t>
            </w:r>
          </w:p>
        </w:tc>
      </w:tr>
      <w:tr>
        <w:tc>
          <w:tcPr>
            <w:tcW w:type="dxa" w:w="4320"/>
          </w:tcPr>
          <w:p>
            <w:r>
              <w:t>Réglementaire</w:t>
            </w:r>
          </w:p>
        </w:tc>
        <w:tc>
          <w:tcPr>
            <w:tcW w:type="dxa" w:w="4320"/>
          </w:tcPr>
          <w:p>
            <w:r>
              <w:t>Décrets pris en Conseil des ministres et arrêtés du ministre chargé des finances, qui précisent l’application de la loi.</w:t>
            </w:r>
          </w:p>
        </w:tc>
      </w:tr>
      <w:tr>
        <w:tc>
          <w:tcPr>
            <w:tcW w:type="dxa" w:w="4320"/>
          </w:tcPr>
          <w:p>
            <w:r>
              <w:t>Administrative</w:t>
            </w:r>
          </w:p>
        </w:tc>
        <w:tc>
          <w:tcPr>
            <w:tcW w:type="dxa" w:w="4320"/>
          </w:tcPr>
          <w:p>
            <w:r>
              <w:t>Lettres administratives, circulaires, réponses ministérielles et rescrits. Le rescrit est une position de l’administration sur une situation décrite loyalement par le contribuable ; au Burkina, l’administration dispose de deux mois pour répondre, et la position donnée l’engage.</w:t>
            </w:r>
          </w:p>
        </w:tc>
      </w:tr>
      <w:tr>
        <w:tc>
          <w:tcPr>
            <w:tcW w:type="dxa" w:w="4320"/>
          </w:tcPr>
          <w:p>
            <w:r>
              <w:t>Jurisprudentielle et doctrinale</w:t>
            </w:r>
          </w:p>
        </w:tc>
        <w:tc>
          <w:tcPr>
            <w:tcW w:type="dxa" w:w="4320"/>
          </w:tcPr>
          <w:p>
            <w:r>
              <w:t>Les décisions de justice et les positions officielles sur les questions fiscales soulevées.</w:t>
            </w:r>
          </w:p>
        </w:tc>
      </w:tr>
    </w:tbl>
    <w:p/>
    <w:p>
      <w:r>
        <w:rPr>
          <w:b/>
        </w:rPr>
        <w:t xml:space="preserve">Exemple. </w:t>
      </w:r>
      <w:r>
        <w:rPr>
          <w:b w:val="0"/>
        </w:rPr>
        <w:t>Lorsqu’un prélèvement obligatoire de 2 % sur le résultat des personnes morales a été instauré au Burkina Faso, les interprétations divergeaient sur sa comptabilisation. L’administration a précisé qu’il ne s’agissait ni d’un impôt ni d’une taxe, mais d’une contribution assise sur le résultat net, ce qui a permis de retenir le traitement comptable correct.</w:t>
      </w:r>
    </w:p>
    <w:p>
      <w:pPr>
        <w:pStyle w:val="Heading1"/>
      </w:pPr>
      <w:r>
        <w:rPr>
          <w:color w:val="0D47A1"/>
        </w:rPr>
        <w:t>3. L’approche fiscale selon les missions</w:t>
      </w:r>
    </w:p>
    <w:p>
      <w:pPr>
        <w:pStyle w:val="Heading2"/>
      </w:pPr>
      <w:r>
        <w:rPr>
          <w:color w:val="0D47A1"/>
        </w:rPr>
        <w:t>Missions d’assurance (audit, contrôle des comptes)</w:t>
      </w:r>
    </w:p>
    <w:p>
      <w:r>
        <w:rPr>
          <w:b w:val="0"/>
        </w:rPr>
        <w:t>Dans une mission d’assurance, l’expert-comptable donne une opinion. Il ne peut ignorer l’approche fiscale dans la vérification des comptes. Il doit comprendre le domaine d’activité, les impôts et produits de l’entité, les informations financières et comptables, ainsi que son organisation.</w:t>
      </w:r>
    </w:p>
    <w:p>
      <w:pPr>
        <w:pStyle w:val="ListBullet"/>
      </w:pPr>
      <w:r>
        <w:rPr>
          <w:b w:val="0"/>
        </w:rPr>
        <w:t>Connaître les textes fiscaux des pays où l’entité exerce, ses secteurs d’activité, ses produits et services, ainsi que l’historique des contrôles de l’administration.</w:t>
      </w:r>
    </w:p>
    <w:p>
      <w:pPr>
        <w:pStyle w:val="ListBullet"/>
      </w:pPr>
      <w:r>
        <w:rPr>
          <w:b w:val="0"/>
        </w:rPr>
        <w:t>Adapter l’analyse au secteur : la fiscalité de la grande distribution n’est pas celle d’une entreprise de production.</w:t>
      </w:r>
    </w:p>
    <w:p>
      <w:pPr>
        <w:pStyle w:val="ListBullet"/>
      </w:pPr>
      <w:r>
        <w:rPr>
          <w:b w:val="0"/>
        </w:rPr>
        <w:t>Évaluer le dispositif de contrôle interne : connaître les risques fiscaux, vérifier que l’entité a pris les dispositions pour y faire face et pour mettre à jour ses procédures.</w:t>
      </w:r>
    </w:p>
    <w:p>
      <w:pPr>
        <w:pStyle w:val="ListBullet"/>
      </w:pPr>
      <w:r>
        <w:rPr>
          <w:b w:val="0"/>
        </w:rPr>
        <w:t>Tenir compte de l’historique : une absence de contrôle fiscal depuis plusieurs années accroît le risque ; un contrôle récent clôturé par une notification définitive permet d’alléger certaines diligences.</w:t>
      </w:r>
    </w:p>
    <w:p>
      <w:pPr>
        <w:pStyle w:val="ListBullet"/>
      </w:pPr>
      <w:r>
        <w:rPr>
          <w:b w:val="0"/>
        </w:rPr>
        <w:t>Valider les comptes d’impôts et taxes, vérifier les implications fiscales des opérations et en extrapoler les conséquences comptables.</w:t>
      </w:r>
    </w:p>
    <w:p>
      <w:pPr>
        <w:pStyle w:val="Heading2"/>
      </w:pPr>
      <w:r>
        <w:rPr>
          <w:color w:val="0D47A1"/>
        </w:rPr>
        <w:t>Missions de non-assurance (assistance, conseil)</w:t>
      </w:r>
    </w:p>
    <w:p>
      <w:r>
        <w:rPr>
          <w:b w:val="0"/>
        </w:rPr>
        <w:t>Pour l’assistance comptable, la tenue de la comptabilité, le conseil fiscal ou l’évaluation d’entreprise, l’expert-comptable doit faire preuve de prudence et de vigilance sur les questions fiscales, appliquer les dispositions en vigueur sans remettre en cause la fiabilité des comptes et mesurer les conséquences fiscales de ses prises de position.</w:t>
      </w:r>
    </w:p>
    <w:p>
      <w:pPr>
        <w:pStyle w:val="Heading2"/>
      </w:pPr>
      <w:r>
        <w:rPr>
          <w:color w:val="0D47A1"/>
        </w:rPr>
        <w:t>Principe : la comptabilité d’abord, les retraitements ensuite</w:t>
      </w:r>
    </w:p>
    <w:p>
      <w:r>
        <w:rPr>
          <w:b w:val="0"/>
        </w:rPr>
        <w:t>L’expert-comptable n’est pas là pour aider à contourner ou optimiser la fiscalité par l’écriture, mais pour présenter des comptes conformes au référentiel comptable. Une facture réelle qui ne remplit pas les conditions de déductibilité doit être comptabilisée pour refléter l’image fidèle ; elle sera simplement réintégrée lors de la détermination du résultat fiscal.</w:t>
      </w:r>
    </w:p>
    <w:p>
      <w:pPr>
        <w:pStyle w:val="Heading2"/>
      </w:pPr>
      <w:r>
        <w:rPr>
          <w:color w:val="0D47A1"/>
        </w:rPr>
        <w:t>Exemple chiffré : la réparation d’un véhicule</w:t>
      </w:r>
    </w:p>
    <w:p>
      <w:r>
        <w:rPr>
          <w:b w:val="0"/>
        </w:rPr>
        <w:t>Une facture de garage de 1 000 000 F est comptabilisée en bloc en « prestation de service », sans analyse. L’analyse détaillée montre qu’elle comprend 900 000 F de pièces et 100 000 F de main-d’œuvre. Seule la main-d’œuvre constitue une prestation soumise à retenue à la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Traitement</w:t>
            </w:r>
          </w:p>
        </w:tc>
        <w:tc>
          <w:tcPr>
            <w:tcW w:type="dxa" w:w="2880"/>
          </w:tcPr>
          <w:p>
            <w:r>
              <w:rPr>
                <w:b/>
              </w:rPr>
              <w:t>Base de retenue</w:t>
            </w:r>
          </w:p>
        </w:tc>
        <w:tc>
          <w:tcPr>
            <w:tcW w:type="dxa" w:w="2880"/>
          </w:tcPr>
          <w:p>
            <w:r>
              <w:rPr>
                <w:b/>
              </w:rPr>
              <w:t>Retenue (taux de 10 % pris à titre d’illustration)</w:t>
            </w:r>
          </w:p>
        </w:tc>
      </w:tr>
      <w:tr>
        <w:tc>
          <w:tcPr>
            <w:tcW w:type="dxa" w:w="2880"/>
          </w:tcPr>
          <w:p>
            <w:r>
              <w:t>Facture comptabilisée en bloc</w:t>
            </w:r>
          </w:p>
        </w:tc>
        <w:tc>
          <w:tcPr>
            <w:tcW w:type="dxa" w:w="2880"/>
          </w:tcPr>
          <w:p>
            <w:r>
              <w:t>1 000 000 F</w:t>
            </w:r>
          </w:p>
        </w:tc>
        <w:tc>
          <w:tcPr>
            <w:tcW w:type="dxa" w:w="2880"/>
          </w:tcPr>
          <w:p>
            <w:r>
              <w:t>100 000 F</w:t>
            </w:r>
          </w:p>
        </w:tc>
      </w:tr>
      <w:tr>
        <w:tc>
          <w:tcPr>
            <w:tcW w:type="dxa" w:w="2880"/>
          </w:tcPr>
          <w:p>
            <w:r>
              <w:t>Facture analysée (main-d’œuvre seule)</w:t>
            </w:r>
          </w:p>
        </w:tc>
        <w:tc>
          <w:tcPr>
            <w:tcW w:type="dxa" w:w="2880"/>
          </w:tcPr>
          <w:p>
            <w:r>
              <w:t>100 000 F</w:t>
            </w:r>
          </w:p>
        </w:tc>
        <w:tc>
          <w:tcPr>
            <w:tcW w:type="dxa" w:w="2880"/>
          </w:tcPr>
          <w:p>
            <w:r>
              <w:t>10 000 F</w:t>
            </w:r>
          </w:p>
        </w:tc>
      </w:tr>
      <w:tr>
        <w:tc>
          <w:tcPr>
            <w:tcW w:type="dxa" w:w="2880"/>
          </w:tcPr>
          <w:p>
            <w:r>
              <w:t>Écart</w:t>
            </w:r>
          </w:p>
        </w:tc>
        <w:tc>
          <w:tcPr>
            <w:tcW w:type="dxa" w:w="2880"/>
          </w:tcPr>
          <w:p>
            <w:r>
              <w:t>—</w:t>
            </w:r>
          </w:p>
        </w:tc>
        <w:tc>
          <w:tcPr>
            <w:tcW w:type="dxa" w:w="2880"/>
          </w:tcPr>
          <w:p>
            <w:r>
              <w:t>90 000 F</w:t>
            </w:r>
          </w:p>
        </w:tc>
      </w:tr>
    </w:tbl>
    <w:p/>
    <w:p>
      <w:r>
        <w:rPr>
          <w:b w:val="0"/>
        </w:rPr>
        <w:t>Une bonne lecture de la pièce évite ainsi à l’entreprise de s’exposer fiscalement.</w:t>
      </w:r>
    </w:p>
    <w:p>
      <w:pPr>
        <w:pStyle w:val="Heading1"/>
      </w:pPr>
      <w:r>
        <w:rPr>
          <w:color w:val="0D47A1"/>
        </w:rPr>
        <w:t>4. Questions et réponses</w:t>
      </w:r>
    </w:p>
    <w:p>
      <w:r>
        <w:rPr>
          <w:b/>
        </w:rPr>
        <w:t xml:space="preserve">Question. </w:t>
      </w:r>
      <w:r>
        <w:t>L’expert-comptable peut-il faire de l’audit fiscal ?</w:t>
      </w:r>
    </w:p>
    <w:p>
      <w:r>
        <w:rPr>
          <w:b/>
        </w:rPr>
        <w:t xml:space="preserve">Réponse. </w:t>
      </w:r>
      <w:r>
        <w:t>Rien ne lui interdit d’en réaliser ponctuellement à la demande d’un client, mais ce ne doit pas être son activité principale. L’approche fiscale consiste à avoir la fiscalité à l’esprit dans toutes ses interventions. Un risque fiscal élevé peut empêcher les comptes de refléter l’image fidèle : un résultat de 10 millions peut devenir négatif une fois les charges fiscales comptabilisées.</w:t>
      </w:r>
    </w:p>
    <w:p>
      <w:r>
        <w:rPr>
          <w:b/>
        </w:rPr>
        <w:t xml:space="preserve">Question. </w:t>
      </w:r>
      <w:r>
        <w:t>Les motivations versées à du personnel non affecté à un projet sont-elles soumises à retenue à la source ?</w:t>
      </w:r>
    </w:p>
    <w:p>
      <w:r>
        <w:rPr>
          <w:b/>
        </w:rPr>
        <w:t xml:space="preserve">Réponse. </w:t>
      </w:r>
      <w:r>
        <w:t>Cela dépend de leur nature : rémunération de prestations, subvention, frais de mission, etc. Sans connaître tous les éléments, il n’est pas possible de donner un traitement approprié ; un cas précis doit être soumis avec l’ensemble des faits.</w:t>
      </w:r>
    </w:p>
    <w:p>
      <w:r>
        <w:rPr>
          <w:b/>
        </w:rPr>
        <w:t xml:space="preserve">Question. </w:t>
      </w:r>
      <w:r>
        <w:t>Comment traiter une charge dont la facture ne comporte pas toutes les mentions obligatoires ?</w:t>
      </w:r>
    </w:p>
    <w:p>
      <w:r>
        <w:rPr>
          <w:b/>
        </w:rPr>
        <w:t xml:space="preserve">Réponse. </w:t>
      </w:r>
      <w:r>
        <w:t>Si la charge est réelle et relève de l’exploitation normale, elle est comptabilisée pour déterminer le résultat réel. En revanche, sa déductibilité fiscale peut être refusée (adresse, identifiant fiscal, RCCM ou références du fournisseur absents). Dans les zones reculées ou avec de petits prestataires, il faut réunir les éléments probants (contrat, bon de commande, preuve de paiement, rapport, réception), prendre les devants et exposer la situation à l’administration plutôt que d’attendre le contrôle.</w:t>
      </w:r>
    </w:p>
    <w:p>
      <w:r>
        <w:rPr>
          <w:b/>
        </w:rPr>
        <w:t xml:space="preserve">Question. </w:t>
      </w:r>
      <w:r>
        <w:t>Comment corriger des états financiers déjà déposés ?</w:t>
      </w:r>
    </w:p>
    <w:p>
      <w:r>
        <w:rPr>
          <w:b/>
        </w:rPr>
        <w:t xml:space="preserve">Réponse. </w:t>
      </w:r>
      <w:r>
        <w:t>Plutôt que de se limiter à des courriers, il est préférable de se présenter à l’administration pour demander la substitution des états financiers. Lorsque le contribuable est de bonne foi et reconnaît son erreur, l’administration se montre de plus en plus compréhensive, même si des pénalités peuvent s’appliquer.</w:t>
      </w:r>
    </w:p>
    <w:p>
      <w:r>
        <w:rPr>
          <w:b/>
        </w:rPr>
        <w:t xml:space="preserve">Question. </w:t>
      </w:r>
      <w:r>
        <w:t>Les entités publiques et les projets sont-ils concernés par les retenues à la source ?</w:t>
      </w:r>
    </w:p>
    <w:p>
      <w:r>
        <w:rPr>
          <w:b/>
        </w:rPr>
        <w:t xml:space="preserve">Réponse. </w:t>
      </w:r>
      <w:r>
        <w:t>Selon la législation, les entités publiques sont des contribuables comme les autres. En cas de doute, il est recommandé de solliciter un courrier officiel pour se prémunir.</w:t>
      </w:r>
    </w:p>
    <w:p>
      <w:r>
        <w:rPr>
          <w:b/>
        </w:rPr>
        <w:t xml:space="preserve">Question. </w:t>
      </w:r>
      <w:r>
        <w:t>Peut-on s’appuyer sur le travail d’un conseil fiscal pour alléger ses diligences ?</w:t>
      </w:r>
    </w:p>
    <w:p>
      <w:r>
        <w:rPr>
          <w:b/>
        </w:rPr>
        <w:t xml:space="preserve">Réponse. </w:t>
      </w:r>
      <w:r>
        <w:t>Oui, en partie : il faut vérifier sa compétence, son indépendance, son inscription au tableau, l’existence d’un contrat et d’un rapport, et la conformité de ce qui a été déposé. Cela ne retire rien à la responsabilité de l’auditeur de réaliser ses propres contrôles.</w:t>
      </w:r>
    </w:p>
    <w:p>
      <w:r>
        <w:rPr>
          <w:b/>
        </w:rPr>
        <w:t xml:space="preserve">Question. </w:t>
      </w:r>
      <w:r>
        <w:t>Que dire des charges non déductibles et du risque de double imposition pour une entreprise non soumise à l’impôt sur les sociétés ?</w:t>
      </w:r>
    </w:p>
    <w:p>
      <w:r>
        <w:rPr>
          <w:b/>
        </w:rPr>
        <w:t xml:space="preserve">Réponse. </w:t>
      </w:r>
      <w:r>
        <w:t>Une entreprise non soumise à l’impôt sur les sociétés n’est pas pénalisée sur ce point, mais l’administration peut la sanctionner si elle accepte des pièces qu’elle sait non conformes, car elle contribue alors à la fraude. La double imposition n’est pas acceptée et les conventions visent à l’éviter. Les obligations de lutte contre le blanchiment et le financement du terrorisme s’appliquent aussi.</w:t>
      </w:r>
    </w:p>
    <w:p>
      <w:r>
        <w:rPr>
          <w:b/>
        </w:rPr>
        <w:t xml:space="preserve">Question. </w:t>
      </w:r>
      <w:r>
        <w:t>Le conseil fiscal est-il remis en cause par la création des ordres de fiscalistes ?</w:t>
      </w:r>
    </w:p>
    <w:p>
      <w:r>
        <w:rPr>
          <w:b/>
        </w:rPr>
        <w:t xml:space="preserve">Réponse. </w:t>
      </w:r>
      <w:r>
        <w:t>Selon l’intervenant, la nouvelle loi ne remet pas en cause l’activité de conseil des experts-comptables. Elle précise que le conseil fiscal ou comptable ne doit pas être l’activité principale d’un cabinet d’expertise comptable.</w:t>
      </w:r>
    </w:p>
    <w:p>
      <w:r>
        <w:rPr>
          <w:b/>
        </w:rPr>
        <w:t xml:space="preserve">Question. </w:t>
      </w:r>
      <w:r>
        <w:t>Où s’arrête l’optimisation fiscale et où commence la fraude ?</w:t>
      </w:r>
    </w:p>
    <w:p>
      <w:r>
        <w:rPr>
          <w:b/>
        </w:rPr>
        <w:t xml:space="preserve">Réponse. </w:t>
      </w:r>
      <w:r>
        <w:t>La fraude suppose un élément matériel et un élément intentionnel. L’optimisation consiste à connaître la loi et à s’y conformer pleinement tout en en tirant le meilleur parti : bonne analyse d’une pièce comptable, exonérations liées aux indemnités de logement ou de déplacement, aide aux fournisseurs pour se mettre en conformité, etc.</w:t>
      </w:r>
    </w:p>
    <w:p>
      <w:r>
        <w:rPr>
          <w:b/>
        </w:rPr>
        <w:t xml:space="preserve">Question. </w:t>
      </w:r>
      <w:r>
        <w:t>Comment documenter le risque fiscal d’une entreprise auditée ?</w:t>
      </w:r>
    </w:p>
    <w:p>
      <w:r>
        <w:rPr>
          <w:b/>
        </w:rPr>
        <w:t xml:space="preserve">Réponse. </w:t>
      </w:r>
      <w:r>
        <w:t>L’expert-comptable n’est pas là pour réaliser un audit fiscal complet. Il doit connaître le domaine d’activité et les principales taxes qui pèsent sur l’entité et, si nécessaire, développer des diligences alternatives pour fonder son opinion sur les comptes.</w:t>
      </w:r>
    </w:p>
    <w:p>
      <w:r>
        <w:rPr>
          <w:b/>
        </w:rPr>
        <w:t xml:space="preserve">Question. </w:t>
      </w:r>
      <w:r>
        <w:t>Quel est le risque d’être à la fois assistant comptable et conseiller fiscal en cas de redressement ?</w:t>
      </w:r>
    </w:p>
    <w:p>
      <w:r>
        <w:rPr>
          <w:b/>
        </w:rPr>
        <w:t xml:space="preserve">Réponse. </w:t>
      </w:r>
      <w:r>
        <w:t>L’assistance comptable lors d’un contrôle (fournir grands livres, rapprochements bancaires, explications) relève de la mission de tenue des comptes. La rédaction de la réponse à la notification et la défense du dossier relèvent d’une nouvelle lettre de mission distincte. Le professionnel ne traite qu’avec les éléments fournis par l’entreprise et ne doit jamais se rendre complice de faux ou de montages visant à éluder l’impôt.</w:t>
      </w:r>
    </w:p>
    <w:p>
      <w:r>
        <w:rPr>
          <w:b/>
        </w:rPr>
        <w:t xml:space="preserve">Question. </w:t>
      </w:r>
      <w:r>
        <w:t>Le commissaire aux comptes peut-il répondre à une demande de conseil fiscal de son client ?</w:t>
      </w:r>
    </w:p>
    <w:p>
      <w:r>
        <w:rPr>
          <w:b/>
        </w:rPr>
        <w:t xml:space="preserve">Réponse. </w:t>
      </w:r>
      <w:r>
        <w:t>L’intervenant invite à la prudence et à ne pas glisser vers des missions incompatibles avec l’indépendance du commissaire aux comptes.</w:t>
      </w:r>
    </w:p>
    <w:p>
      <w:pPr>
        <w:pStyle w:val="Heading1"/>
      </w:pPr>
      <w:r>
        <w:rPr>
          <w:color w:val="0D47A1"/>
        </w:rPr>
        <w:t>Clôture</w:t>
      </w:r>
    </w:p>
    <w:p>
      <w:r>
        <w:rPr>
          <w:b w:val="0"/>
        </w:rPr>
        <w:t>L’intervenant remercie les participants pour la qualité des échanges. Près de 190 personnes étaient encore connectées à la fin de la séance. Les micros et les caméras sont ensuite réouverts pour les salutations finales.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