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png" ContentType="image/png"/>
  <Override PartName="/word/media/rId28.png" ContentType="image/png"/>
  <Override PartName="/word/media/rId21.jpeg" ContentType="image/jpeg"/>
  <Override PartName="/word/media/rId3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b59d6f6a6dceaa6c1bd38a14c4a1598531affba"/>
    <w:bookmarkStart w:id="42" w:name="Xab100e8cfc5f1881bd7844a2cf66ec707ea1502"/>
    <w:p>
      <w:pPr>
        <w:pStyle w:val="Heading2"/>
      </w:pPr>
      <w:r>
        <w:t xml:space="preserve">2.3</w:t>
      </w:r>
      <w:r>
        <w:t xml:space="preserve"> </w:t>
      </w:r>
      <w:r>
        <w:t xml:space="preserve"> </w:t>
      </w:r>
      <w:r>
        <w:t xml:space="preserve"> </w:t>
      </w:r>
      <w:r>
        <w:t xml:space="preserve">It's All in the Mindset</w:t>
      </w:r>
    </w:p>
    <w:tbl>
      <w:tblPr>
        <w:tblStyle w:val="Table"/>
        <w:tblW w:type="pct" w:w="0.0"/>
        <w:tblLook w:firstRow="0" w:lastRow="0" w:firstColumn="0" w:lastColumn="0" w:noHBand="0" w:noVBand="0"/>
      </w:tblPr>
      <w:tblGrid/>
      <w:tr>
        <w:tc>
          <w:p>
            <w:pPr>
              <w:pStyle w:val="Compact"/>
              <w:jc w:val="left"/>
            </w:pPr>
            <w:r>
              <w:t xml:space="preserve">Estimated completion time: 14 minutes.</w:t>
            </w:r>
          </w:p>
        </w:tc>
      </w:tr>
    </w:tbl>
    <w:p>
      <w:pPr>
        <w:pStyle w:val="TextBody"/>
      </w:pPr>
      <w:r>
        <w:rPr>
          <w:bCs/>
          <w:b/>
        </w:rPr>
        <w:t xml:space="preserve">Questions to consider:</w:t>
      </w:r>
    </w:p>
    <w:p>
      <w:pPr>
        <w:numPr>
          <w:ilvl w:val="0"/>
          <w:numId w:val="1001"/>
        </w:numPr>
        <w:pStyle w:val="Compact"/>
      </w:pPr>
      <w:r>
        <w:t xml:space="preserve">What is a growth mindset, and how does it affect my learning?</w:t>
      </w:r>
    </w:p>
    <w:p>
      <w:pPr>
        <w:numPr>
          <w:ilvl w:val="0"/>
          <w:numId w:val="1001"/>
        </w:numPr>
        <w:pStyle w:val="Compact"/>
      </w:pPr>
      <w:r>
        <w:t xml:space="preserve">What are performance goals versus learning goals?</w:t>
      </w:r>
    </w:p>
    <w:p>
      <w:pPr>
        <w:pStyle w:val="FirstParagraph"/>
      </w:pPr>
      <w:r>
        <w:t xml:space="preserve">In the previous sections of this chapter you have focused on a number of concepts and models about learning. One of the things they all have in common is that they utilize different approaches to education by presenting new ways to think about learning. In each of these, the common element has been a better understanding of yourself as a learner and how to apply what you know about yourself to your own learning experience. If you were to distill all that you have learned in this chapter so far down to a single factor, it would be about using your</w:t>
      </w:r>
      <w:r>
        <w:t xml:space="preserve"> </w:t>
      </w:r>
      <w:bookmarkStart w:id="20" w:name="term7"/>
      <w:r>
        <w:t xml:space="preserve">mindset</w:t>
      </w:r>
      <w:bookmarkEnd w:id="20"/>
      <w:r>
        <w:t xml:space="preserve"> </w:t>
      </w:r>
      <w:r>
        <w:t xml:space="preserve">to your best advantage. In this next section, you will examine how all of this works in a broader sense by learning about the significance of certain mindsets and how they can hinder or promote your own learning efforts.</w:t>
      </w:r>
    </w:p>
    <w:p>
      <w:pPr>
        <w:pStyle w:val="Figure"/>
      </w:pPr>
      <w:bookmarkStart w:id="22" w:name="X56a192b7913b04c54574d18c28d46e6395428ab"/>
      <w:r>
        <w:drawing>
          <wp:inline>
            <wp:extent cx="5943600" cy="3959923"/>
            <wp:effectExtent b="0" l="0" r="0" t="0"/>
            <wp:docPr descr="" title="" id="1" name="Picture"/>
            <a:graphic>
              <a:graphicData uri="http://schemas.openxmlformats.org/drawingml/2006/picture">
                <pic:pic>
                  <pic:nvPicPr>
                    <pic:cNvPr descr="../resources/cbecfa6a3a74e95a06ea5c1849df224b7dbc6ddf" id="0" name="Picture"/>
                    <pic:cNvPicPr>
                      <a:picLocks noChangeArrowheads="1" noChangeAspect="1"/>
                    </pic:cNvPicPr>
                  </pic:nvPicPr>
                  <pic:blipFill>
                    <a:blip r:embed="rId21"/>
                    <a:stretch>
                      <a:fillRect/>
                    </a:stretch>
                  </pic:blipFill>
                  <pic:spPr bwMode="auto">
                    <a:xfrm>
                      <a:off x="0" y="0"/>
                      <a:ext cx="5943600" cy="3959923"/>
                    </a:xfrm>
                    <a:prstGeom prst="rect">
                      <a:avLst/>
                    </a:prstGeom>
                    <a:noFill/>
                    <a:ln w="9525">
                      <a:noFill/>
                      <a:headEnd/>
                      <a:tailEnd/>
                    </a:ln>
                  </pic:spPr>
                </pic:pic>
              </a:graphicData>
            </a:graphic>
          </wp:inline>
        </w:drawing>
      </w:r>
      <w:bookmarkEnd w:id="22"/>
    </w:p>
    <w:p>
      <w:pPr>
        <w:pStyle w:val="FirstParagraph"/>
      </w:pPr>
      <w:r>
        <w:t xml:space="preserve">Figure</w:t>
      </w:r>
      <w:r>
        <w:t xml:space="preserve"> </w:t>
      </w:r>
      <w:r>
        <w:t xml:space="preserve"> </w:t>
      </w:r>
      <w:r>
        <w:t xml:space="preserve">2.7</w:t>
      </w:r>
      <w:r>
        <w:t xml:space="preserve"> </w:t>
      </w:r>
      <w:r>
        <w:t xml:space="preserve"> </w:t>
      </w:r>
      <w:r>
        <w:t xml:space="preserve"> </w:t>
      </w:r>
      <w:r>
        <w:t xml:space="preserve">Many fields of study and work create intersections of growth and fixed mindset. People may feel great ability to grow and learn in some areas, like art and communication, but feel more limited in others, such as planning and financials. Recognizing these intersections will help you approach new topics and tasks. (Credit: mentatdgt / Pexels)</w:t>
      </w:r>
    </w:p>
    <w:bookmarkStart w:id="41" w:name="fs-idm213746912"/>
    <w:bookmarkStart w:id="40" w:name="performance-vs.-learning-goals"/>
    <w:p>
      <w:pPr>
        <w:pStyle w:val="Heading3"/>
      </w:pPr>
      <w:r>
        <w:t xml:space="preserve">Performance vs. Learning Goals</w:t>
      </w:r>
    </w:p>
    <w:p>
      <w:pPr>
        <w:pStyle w:val="FirstParagraph"/>
      </w:pPr>
      <w:r>
        <w:t xml:space="preserve">As you have discovered in this chapter, much of our ability to learn is governed by our motivations and goals. What has not yet been covered in detail has been how sometimes hidden goals or mindsets can impact the learning process. In truth, we all have goals that we might not be fully aware of, or if we are aware of them, we might not understand how they help or restrict our ability to learn. An illustration of this can be seen in a comparison of a student that has</w:t>
      </w:r>
      <w:r>
        <w:t xml:space="preserve"> </w:t>
      </w:r>
      <w:r>
        <w:rPr>
          <w:iCs/>
          <w:i/>
        </w:rPr>
        <w:t xml:space="preserve">performance</w:t>
      </w:r>
      <w:r>
        <w:t xml:space="preserve">-based goals with a student that has</w:t>
      </w:r>
      <w:r>
        <w:t xml:space="preserve"> </w:t>
      </w:r>
      <w:r>
        <w:rPr>
          <w:iCs/>
          <w:i/>
        </w:rPr>
        <w:t xml:space="preserve">learning</w:t>
      </w:r>
      <w:r>
        <w:t xml:space="preserve">-based goals.</w:t>
      </w:r>
    </w:p>
    <w:p>
      <w:pPr>
        <w:pStyle w:val="TextBody"/>
      </w:pPr>
      <w:r>
        <w:t xml:space="preserve">If you are a student with strict performance goals, your primary psychological concern might be to appear intelligent to others. At first, this might not seem to be a bad thing for college, but it can truly limit your ability to move forward in your own learning. Instead, you would tend to play it safe without even realizing it. For example, a student who is strictly performance-goal-oriented will often only says things in a classroom discussion when they think it will make them look knowledgeable to the instructor or their classmates. For example, a performance-oriented student might ask a question that she knows is beyond the topic being covered (e.g., asking about the economics of Japanese whaling while discussing the book</w:t>
      </w:r>
      <w:r>
        <w:t xml:space="preserve"> </w:t>
      </w:r>
      <w:r>
        <w:rPr>
          <w:iCs/>
          <w:i/>
        </w:rPr>
        <w:t xml:space="preserve">Moby Dick</w:t>
      </w:r>
      <w:r>
        <w:t xml:space="preserve"> </w:t>
      </w:r>
      <w:r>
        <w:t xml:space="preserve">in an American literature course). Rarely will they ask a question in class because they actually do not understand a concept. Instead they will ask questions that make them look intelligent to others or in an effort to “stump the teacher.” When they do finally ask an honest question, it may be because they are more afraid that their lack of understanding will result in a poor performance on an exam rather than simply wanting to learn.</w:t>
      </w:r>
    </w:p>
    <w:p>
      <w:pPr>
        <w:pStyle w:val="TextBody"/>
      </w:pPr>
      <w:r>
        <w:t xml:space="preserve">If you are a student who is driven by learning goals, your interactions in classroom discussions are usually quite different. You see the opportunity to share ideas and ask questions as a way to gain knowledge quickly. In a classroom discussion you can ask for clarification immediately if you don’t quite understand what is being discussed. If you are a person guided by learning goals, you are less worried about what others think since you are there to learn and you see that as the most important goal.</w:t>
      </w:r>
    </w:p>
    <w:p>
      <w:pPr>
        <w:pStyle w:val="TextBody"/>
      </w:pPr>
      <w:r>
        <w:t xml:space="preserve">Another example where the difference between the two mindsets is clear can be found in assignments and other coursework. If you are a student who is more concerned about performance, you may avoid work that is challenging. You will take the “easy A” route by relying on what you already know. You will not step out of your comfort zone because your psychological goals are based on approval of your performance instead of being motivated by learning.</w:t>
      </w:r>
    </w:p>
    <w:p>
      <w:pPr>
        <w:pStyle w:val="TextBody"/>
      </w:pPr>
      <w:r>
        <w:t xml:space="preserve">This is very different from a student with a learning-based psychology. If you are a student who is motivated by learning goals, you may actively seek challenging assignments, and you will put a great deal of effort into using the assignment to expand on what you already know. While getting a good grade is important to you, what is even more important is the learning itself.</w:t>
      </w:r>
    </w:p>
    <w:p>
      <w:pPr>
        <w:pStyle w:val="TextBody"/>
      </w:pPr>
      <w:r>
        <w:t xml:space="preserve">If you find that you sometimes lean toward performance-based goals, do not feel discouraged. Many of the best students tend to initially focus on performance until they begin to see the ways it can restrict their learning. The key to switching to learning-based goals is often simply a matter of first recognizing the difference and seeing how making a change can positively impact your own learning.</w:t>
      </w:r>
    </w:p>
    <w:p>
      <w:pPr>
        <w:pStyle w:val="TextBody"/>
      </w:pPr>
      <w:r>
        <w:t xml:space="preserve">What follows in this section is a more in-depth look at the difference between performance- and learning-based goals. This is followed by an exercise that will give you the opportunity to identify, analyze, and determine a positive course of action in a situation where you believe you could improve in this area.</w:t>
      </w:r>
    </w:p>
    <w:bookmarkStart w:id="30" w:name="fs-idm204727872"/>
    <w:p>
      <w:pPr>
        <w:pStyle w:val="Heading3Grey"/>
      </w:pPr>
      <w:r>
        <w:t xml:space="preserve">What Students Say</w:t>
      </w:r>
    </w:p>
    <w:p>
      <w:pPr>
        <w:pStyle w:val="Heading4Grey"/>
      </w:pPr>
      <w:r>
        <w:t xml:space="preserve"> </w:t>
      </w:r>
    </w:p>
    <w:p>
      <w:pPr>
        <w:numPr>
          <w:ilvl w:val="0"/>
          <w:numId w:val="1002"/>
        </w:numPr>
        <w:pStyle w:val="Compact"/>
      </w:pPr>
      <w:r>
        <w:t xml:space="preserve">In the past, did you feel like you had control over your own learning?</w:t>
      </w:r>
    </w:p>
    <w:p>
      <w:pPr>
        <w:numPr>
          <w:ilvl w:val="1"/>
          <w:numId w:val="1003"/>
        </w:numPr>
        <w:pStyle w:val="Compact"/>
      </w:pPr>
      <w:r>
        <w:t xml:space="preserve">No. Someone has always dictated how and what I learned.</w:t>
      </w:r>
    </w:p>
    <w:p>
      <w:pPr>
        <w:numPr>
          <w:ilvl w:val="1"/>
          <w:numId w:val="1003"/>
        </w:numPr>
        <w:pStyle w:val="Compact"/>
      </w:pPr>
      <w:r>
        <w:t xml:space="preserve">Yes. I always look for ways to take control of what and how I learned.</w:t>
      </w:r>
    </w:p>
    <w:p>
      <w:pPr>
        <w:numPr>
          <w:ilvl w:val="1"/>
          <w:numId w:val="1003"/>
        </w:numPr>
        <w:pStyle w:val="Compact"/>
      </w:pPr>
      <w:r>
        <w:t xml:space="preserve">I am uncertain. I never thought about it before.</w:t>
      </w:r>
    </w:p>
    <w:p>
      <w:pPr>
        <w:numPr>
          <w:ilvl w:val="0"/>
          <w:numId w:val="1002"/>
        </w:numPr>
        <w:pStyle w:val="Compact"/>
      </w:pPr>
      <w:r>
        <w:t xml:space="preserve">Have you ever heard of learning styles or do you know your own learning style?</w:t>
      </w:r>
    </w:p>
    <w:p>
      <w:pPr>
        <w:numPr>
          <w:ilvl w:val="1"/>
          <w:numId w:val="1004"/>
        </w:numPr>
        <w:pStyle w:val="Compact"/>
      </w:pPr>
      <w:r>
        <w:t xml:space="preserve">No. I have never heard of learning styles.</w:t>
      </w:r>
    </w:p>
    <w:p>
      <w:pPr>
        <w:numPr>
          <w:ilvl w:val="1"/>
          <w:numId w:val="1004"/>
        </w:numPr>
        <w:pStyle w:val="Compact"/>
      </w:pPr>
      <w:r>
        <w:t xml:space="preserve">Yes. I have heard of learning styles and know my own.</w:t>
      </w:r>
    </w:p>
    <w:p>
      <w:pPr>
        <w:numPr>
          <w:ilvl w:val="1"/>
          <w:numId w:val="1004"/>
        </w:numPr>
        <w:pStyle w:val="Compact"/>
      </w:pPr>
      <w:r>
        <w:t xml:space="preserve">Yes. I have heard of learning styles, but I don’t think they’re accurate or relate to me.</w:t>
      </w:r>
    </w:p>
    <w:p>
      <w:pPr>
        <w:numPr>
          <w:ilvl w:val="0"/>
          <w:numId w:val="1002"/>
        </w:numPr>
        <w:pStyle w:val="Compact"/>
      </w:pPr>
      <w:r>
        <w:t xml:space="preserve">Which factors other than intelligence do you think have the greatest influence on learning?</w:t>
      </w:r>
    </w:p>
    <w:p>
      <w:pPr>
        <w:numPr>
          <w:ilvl w:val="1"/>
          <w:numId w:val="1005"/>
        </w:numPr>
        <w:pStyle w:val="Compact"/>
      </w:pPr>
      <w:r>
        <w:t xml:space="preserve">Motivation</w:t>
      </w:r>
    </w:p>
    <w:p>
      <w:pPr>
        <w:numPr>
          <w:ilvl w:val="1"/>
          <w:numId w:val="1005"/>
        </w:numPr>
        <w:pStyle w:val="Compact"/>
      </w:pPr>
      <w:r>
        <w:t xml:space="preserve">Perseverance</w:t>
      </w:r>
    </w:p>
    <w:p>
      <w:pPr>
        <w:numPr>
          <w:ilvl w:val="1"/>
          <w:numId w:val="1005"/>
        </w:numPr>
        <w:pStyle w:val="Compact"/>
      </w:pPr>
      <w:r>
        <w:t xml:space="preserve">Understanding how I learn</w:t>
      </w:r>
    </w:p>
    <w:p>
      <w:pPr>
        <w:numPr>
          <w:ilvl w:val="1"/>
          <w:numId w:val="1005"/>
        </w:numPr>
        <w:pStyle w:val="Compact"/>
      </w:pPr>
      <w:r>
        <w:t xml:space="preserve">Good teachers and support</w:t>
      </w:r>
    </w:p>
    <w:p>
      <w:pPr>
        <w:pStyle w:val="NoteExampleGrey"/>
      </w:pPr>
      <w:r>
        <w:t xml:space="preserve">You can also take the anonymous</w:t>
      </w:r>
      <w:r>
        <w:t xml:space="preserve"> </w:t>
      </w:r>
      <w:hyperlink r:id="rId23">
        <w:r>
          <w:rPr>
            <w:rStyle w:val="InternetLink"/>
          </w:rPr>
          <w:t xml:space="preserve">What Students Say</w:t>
        </w:r>
      </w:hyperlink>
      <w:r>
        <w:t xml:space="preserve"> </w:t>
      </w:r>
      <w:r>
        <w:t xml:space="preserve">surveys to add your voice to this textbook. Your responses will be included in updates.</w:t>
      </w:r>
    </w:p>
    <w:p>
      <w:pPr>
        <w:pStyle w:val="NoteExampleGrey"/>
      </w:pPr>
      <w:r>
        <w:t xml:space="preserve">Students offered their views on these questions, and the results are displayed in the graphs below.</w:t>
      </w:r>
    </w:p>
    <w:p>
      <w:pPr>
        <w:pStyle w:val="NoteExampleGrey"/>
      </w:pPr>
      <w:r>
        <w:t xml:space="preserve">In the past, did you feel like you had control over your own learning?</w:t>
      </w:r>
    </w:p>
    <w:p>
      <w:pPr>
        <w:pStyle w:val="Figure"/>
      </w:pPr>
      <w:bookmarkStart w:id="25" w:name="X7de68daecd823babbb58edb1c8e14d7106e83bb"/>
      <w:r>
        <w:drawing>
          <wp:inline>
            <wp:extent cx="4602581" cy="1990884"/>
            <wp:effectExtent b="0" l="0" r="0" t="0"/>
            <wp:docPr descr="" title="" id="1" name="Picture"/>
            <a:graphic>
              <a:graphicData uri="http://schemas.openxmlformats.org/drawingml/2006/picture">
                <pic:pic>
                  <pic:nvPicPr>
                    <pic:cNvPr descr="../resources/f8617c28e3b9b4615995c5cd7fa961dc6474f94f" id="0" name="Picture"/>
                    <pic:cNvPicPr>
                      <a:picLocks noChangeArrowheads="1" noChangeAspect="1"/>
                    </pic:cNvPicPr>
                  </pic:nvPicPr>
                  <pic:blipFill>
                    <a:blip r:embed="rId24"/>
                    <a:stretch>
                      <a:fillRect/>
                    </a:stretch>
                  </pic:blipFill>
                  <pic:spPr bwMode="auto">
                    <a:xfrm>
                      <a:off x="0" y="0"/>
                      <a:ext cx="4602581" cy="1990884"/>
                    </a:xfrm>
                    <a:prstGeom prst="rect">
                      <a:avLst/>
                    </a:prstGeom>
                    <a:noFill/>
                    <a:ln w="9525">
                      <a:noFill/>
                      <a:headEnd/>
                      <a:tailEnd/>
                    </a:ln>
                  </pic:spPr>
                </pic:pic>
              </a:graphicData>
            </a:graphic>
          </wp:inline>
        </w:drawing>
      </w:r>
      <w:bookmarkEnd w:id="25"/>
    </w:p>
    <w:p>
      <w:pPr>
        <w:pStyle w:val="NoteExampleGrey"/>
      </w:pPr>
      <w:r>
        <w:t xml:space="preserve">Figure</w:t>
      </w:r>
      <w:r>
        <w:t xml:space="preserve"> </w:t>
      </w:r>
      <w:r>
        <w:t xml:space="preserve"> </w:t>
      </w:r>
      <w:r>
        <w:t xml:space="preserve">2.8</w:t>
      </w:r>
    </w:p>
    <w:p>
      <w:pPr>
        <w:pStyle w:val="NoteExampleGrey"/>
      </w:pPr>
      <w:r>
        <w:t xml:space="preserve">Have you ever heard of learning styles or do you know your own learning style?</w:t>
      </w:r>
    </w:p>
    <w:p>
      <w:pPr>
        <w:pStyle w:val="Figure"/>
      </w:pPr>
      <w:bookmarkStart w:id="27" w:name="Xb6453892473a467d07372d45eb05abc2031647a"/>
      <w:r>
        <w:drawing>
          <wp:inline>
            <wp:extent cx="4831946" cy="1990884"/>
            <wp:effectExtent b="0" l="0" r="0" t="0"/>
            <wp:docPr descr="" title="" id="1" name="Picture"/>
            <a:graphic>
              <a:graphicData uri="http://schemas.openxmlformats.org/drawingml/2006/picture">
                <pic:pic>
                  <pic:nvPicPr>
                    <pic:cNvPr descr="../resources/1df29d64ad8d3169bdbd259a382420cddd309bbc" id="0" name="Picture"/>
                    <pic:cNvPicPr>
                      <a:picLocks noChangeArrowheads="1" noChangeAspect="1"/>
                    </pic:cNvPicPr>
                  </pic:nvPicPr>
                  <pic:blipFill>
                    <a:blip r:embed="rId26"/>
                    <a:stretch>
                      <a:fillRect/>
                    </a:stretch>
                  </pic:blipFill>
                  <pic:spPr bwMode="auto">
                    <a:xfrm>
                      <a:off x="0" y="0"/>
                      <a:ext cx="4831946" cy="1990884"/>
                    </a:xfrm>
                    <a:prstGeom prst="rect">
                      <a:avLst/>
                    </a:prstGeom>
                    <a:noFill/>
                    <a:ln w="9525">
                      <a:noFill/>
                      <a:headEnd/>
                      <a:tailEnd/>
                    </a:ln>
                  </pic:spPr>
                </pic:pic>
              </a:graphicData>
            </a:graphic>
          </wp:inline>
        </w:drawing>
      </w:r>
      <w:bookmarkEnd w:id="27"/>
    </w:p>
    <w:p>
      <w:pPr>
        <w:pStyle w:val="NoteExampleGrey"/>
      </w:pPr>
      <w:r>
        <w:t xml:space="preserve">Figure</w:t>
      </w:r>
      <w:r>
        <w:t xml:space="preserve"> </w:t>
      </w:r>
      <w:r>
        <w:t xml:space="preserve"> </w:t>
      </w:r>
      <w:r>
        <w:t xml:space="preserve">2.9</w:t>
      </w:r>
    </w:p>
    <w:p>
      <w:pPr>
        <w:pStyle w:val="NoteExampleGrey"/>
      </w:pPr>
      <w:r>
        <w:t xml:space="preserve">Which factors other than intelligence do you think have the greatest influence on learning?</w:t>
      </w:r>
    </w:p>
    <w:p>
      <w:pPr>
        <w:pStyle w:val="Figure"/>
      </w:pPr>
      <w:bookmarkStart w:id="29" w:name="Xc3478d69a3c81fa62e60f5c3696165a4e5e6ac4"/>
      <w:r>
        <w:drawing>
          <wp:inline>
            <wp:extent cx="4339577" cy="2110153"/>
            <wp:effectExtent b="0" l="0" r="0" t="0"/>
            <wp:docPr descr="" title="" id="1" name="Picture"/>
            <a:graphic>
              <a:graphicData uri="http://schemas.openxmlformats.org/drawingml/2006/picture">
                <pic:pic>
                  <pic:nvPicPr>
                    <pic:cNvPr descr="../resources/bb709d92dd7a92e67d46a92333a92ac747e1c546" id="0" name="Picture"/>
                    <pic:cNvPicPr>
                      <a:picLocks noChangeArrowheads="1" noChangeAspect="1"/>
                    </pic:cNvPicPr>
                  </pic:nvPicPr>
                  <pic:blipFill>
                    <a:blip r:embed="rId28"/>
                    <a:stretch>
                      <a:fillRect/>
                    </a:stretch>
                  </pic:blipFill>
                  <pic:spPr bwMode="auto">
                    <a:xfrm>
                      <a:off x="0" y="0"/>
                      <a:ext cx="4339577" cy="2110153"/>
                    </a:xfrm>
                    <a:prstGeom prst="rect">
                      <a:avLst/>
                    </a:prstGeom>
                    <a:noFill/>
                    <a:ln w="9525">
                      <a:noFill/>
                      <a:headEnd/>
                      <a:tailEnd/>
                    </a:ln>
                  </pic:spPr>
                </pic:pic>
              </a:graphicData>
            </a:graphic>
          </wp:inline>
        </w:drawing>
      </w:r>
      <w:bookmarkEnd w:id="29"/>
    </w:p>
    <w:p>
      <w:pPr>
        <w:pStyle w:val="NoteExampleGrey"/>
      </w:pPr>
      <w:r>
        <w:t xml:space="preserve">Figure</w:t>
      </w:r>
      <w:r>
        <w:t xml:space="preserve"> </w:t>
      </w:r>
      <w:r>
        <w:t xml:space="preserve"> </w:t>
      </w:r>
      <w:r>
        <w:t xml:space="preserve">2.10</w:t>
      </w:r>
    </w:p>
    <w:bookmarkEnd w:id="30"/>
    <w:bookmarkStart w:id="34" w:name="fs-idm220421696"/>
    <w:bookmarkStart w:id="33" w:name="fixed-vs.-growth-mindset"/>
    <w:p>
      <w:pPr>
        <w:pStyle w:val="Heading4"/>
      </w:pPr>
      <w:r>
        <w:t xml:space="preserve">Fixed vs. Growth Mindset</w:t>
      </w:r>
    </w:p>
    <w:p>
      <w:pPr>
        <w:pStyle w:val="FirstParagraph"/>
      </w:pPr>
      <w:r>
        <w:t xml:space="preserve">The research-based model of these two mindsets and their influence on learning was presented in 1988 by Carol Dweck.</w:t>
      </w:r>
      <w:hyperlink w:anchor="ch02rfin-7">
        <w:r>
          <w:rPr>
            <w:rStyle w:val="InternetLink"/>
          </w:rPr>
          <w:t xml:space="preserve">7</w:t>
        </w:r>
      </w:hyperlink>
      <w:r>
        <w:t xml:space="preserve"> </w:t>
      </w:r>
      <w:r>
        <w:t xml:space="preserve">In Dr. Dweck’s work, she determined that a student’s perception about their own learning accompanied by a broader goal of learning had a significant influence on their ability to overcome challenges and grow in knowledge and ability. This has become known as the Fixed vs. Growth Mindset model. In this model, the</w:t>
      </w:r>
      <w:r>
        <w:t xml:space="preserve"> </w:t>
      </w:r>
      <w:r>
        <w:rPr>
          <w:iCs/>
          <w:i/>
        </w:rPr>
        <w:t xml:space="preserve">performance</w:t>
      </w:r>
      <w:r>
        <w:t xml:space="preserve">-goal-oriented student is represented by the</w:t>
      </w:r>
      <w:r>
        <w:t xml:space="preserve"> </w:t>
      </w:r>
      <w:r>
        <w:rPr>
          <w:iCs/>
          <w:i/>
        </w:rPr>
        <w:t xml:space="preserve">fixed</w:t>
      </w:r>
      <w:r>
        <w:t xml:space="preserve"> </w:t>
      </w:r>
      <w:r>
        <w:t xml:space="preserve">mindset, while the</w:t>
      </w:r>
      <w:r>
        <w:t xml:space="preserve"> </w:t>
      </w:r>
      <w:r>
        <w:rPr>
          <w:iCs/>
          <w:i/>
        </w:rPr>
        <w:t xml:space="preserve">learning</w:t>
      </w:r>
      <w:r>
        <w:t xml:space="preserve">-goal-oriented student is represented by the</w:t>
      </w:r>
      <w:r>
        <w:t xml:space="preserve"> </w:t>
      </w:r>
      <w:r>
        <w:rPr>
          <w:iCs/>
          <w:i/>
        </w:rPr>
        <w:t xml:space="preserve">growth</w:t>
      </w:r>
      <w:r>
        <w:t xml:space="preserve"> </w:t>
      </w:r>
      <w:r>
        <w:t xml:space="preserve">mindset.</w:t>
      </w:r>
    </w:p>
    <w:p>
      <w:pPr>
        <w:pStyle w:val="TextBody"/>
      </w:pPr>
      <w:r>
        <w:t xml:space="preserve">7</w:t>
      </w:r>
    </w:p>
    <w:p>
      <w:pPr>
        <w:pStyle w:val="TextBody"/>
      </w:pPr>
      <w:r>
        <w:t xml:space="preserve">Dweck, C.S. &amp; Leggett, E.L. (1988). A Social-Cognitive Approach to Motivation and Personality</w:t>
      </w:r>
    </w:p>
    <w:p>
      <w:pPr>
        <w:pStyle w:val="TextBody"/>
      </w:pPr>
      <w:r>
        <w:t xml:space="preserve">In the following graphic, based on Dr. Dweck’s research, you can see how many of the components associated with learning are impacted by these two mindsets.</w:t>
      </w:r>
    </w:p>
    <w:p>
      <w:pPr>
        <w:pStyle w:val="Figure"/>
      </w:pPr>
      <w:bookmarkStart w:id="32" w:name="X1dfd96eea8cc2b62785275bca38ac261256e278"/>
      <w:r>
        <w:drawing>
          <wp:inline>
            <wp:extent cx="5943600" cy="6019799"/>
            <wp:effectExtent b="0" l="0" r="0" t="0"/>
            <wp:docPr descr="" title="" id="1" name="Picture"/>
            <a:graphic>
              <a:graphicData uri="http://schemas.openxmlformats.org/drawingml/2006/picture">
                <pic:pic>
                  <pic:nvPicPr>
                    <pic:cNvPr descr="../resources/ed919e870b8407059798fe123faddf832f60dad3" id="0" name="Picture"/>
                    <pic:cNvPicPr>
                      <a:picLocks noChangeArrowheads="1" noChangeAspect="1"/>
                    </pic:cNvPicPr>
                  </pic:nvPicPr>
                  <pic:blipFill>
                    <a:blip r:embed="rId31"/>
                    <a:stretch>
                      <a:fillRect/>
                    </a:stretch>
                  </pic:blipFill>
                  <pic:spPr bwMode="auto">
                    <a:xfrm>
                      <a:off x="0" y="0"/>
                      <a:ext cx="5943600" cy="6019799"/>
                    </a:xfrm>
                    <a:prstGeom prst="rect">
                      <a:avLst/>
                    </a:prstGeom>
                    <a:noFill/>
                    <a:ln w="9525">
                      <a:noFill/>
                      <a:headEnd/>
                      <a:tailEnd/>
                    </a:ln>
                  </pic:spPr>
                </pic:pic>
              </a:graphicData>
            </a:graphic>
          </wp:inline>
        </w:drawing>
      </w:r>
      <w:bookmarkEnd w:id="32"/>
    </w:p>
    <w:p>
      <w:pPr>
        <w:pStyle w:val="FirstParagraph"/>
      </w:pPr>
      <w:r>
        <w:t xml:space="preserve">Figure</w:t>
      </w:r>
      <w:r>
        <w:t xml:space="preserve"> </w:t>
      </w:r>
      <w:r>
        <w:t xml:space="preserve"> </w:t>
      </w:r>
      <w:r>
        <w:t xml:space="preserve">2.11</w:t>
      </w:r>
      <w:r>
        <w:t xml:space="preserve"> </w:t>
      </w:r>
      <w:r>
        <w:t xml:space="preserve"> </w:t>
      </w:r>
      <w:r>
        <w:t xml:space="preserve"> </w:t>
      </w:r>
      <w:r>
        <w:t xml:space="preserve">The differences between fixed and growth mindset are clear when aligned to key elements of learning and personality. (Credit: Based on work by Dr. Carol Dweck)</w:t>
      </w:r>
    </w:p>
    <w:bookmarkEnd w:id="33"/>
    <w:bookmarkEnd w:id="34"/>
    <w:bookmarkStart w:id="36" w:name="fs-idm217217408"/>
    <w:bookmarkStart w:id="35" w:name="Xf747627297e30dda4dd6884105b23ee05438bb0"/>
    <w:p>
      <w:pPr>
        <w:pStyle w:val="Heading4"/>
      </w:pPr>
      <w:r>
        <w:t xml:space="preserve">The Growth Mindset and Lessons About Failing</w:t>
      </w:r>
    </w:p>
    <w:p>
      <w:pPr>
        <w:pStyle w:val="FirstParagraph"/>
      </w:pPr>
      <w:r>
        <w:t xml:space="preserve">Something you may have noticed is that a growth mindset would tend to give a learner grit and persistence. If you had learning as your major goal, you would normally keep trying to attain that goal even if it took you multiple attempts. Not only that, but if you learned a little bit more with each try you would see each attempt as a success, even if you had not achieved complete mastery of whatever it was you were working to learn.</w:t>
      </w:r>
    </w:p>
    <w:p>
      <w:pPr>
        <w:pStyle w:val="TextBody"/>
      </w:pPr>
      <w:r>
        <w:t xml:space="preserve">With that in mind, it should come as no surprise that Dr. Dweck found that those people who believed their abilities could change through learning (growth vs. a fixed mindset) readily accepted learning challenges and persisted despite early failures.</w:t>
      </w:r>
    </w:p>
    <w:bookmarkEnd w:id="35"/>
    <w:bookmarkEnd w:id="36"/>
    <w:bookmarkStart w:id="39" w:name="fs-idm225780416"/>
    <w:bookmarkStart w:id="38" w:name="improving-your-ability-to-learn"/>
    <w:p>
      <w:pPr>
        <w:pStyle w:val="Heading4"/>
      </w:pPr>
      <w:r>
        <w:t xml:space="preserve">Improving Your Ability to Learn</w:t>
      </w:r>
    </w:p>
    <w:p>
      <w:pPr>
        <w:pStyle w:val="FirstParagraph"/>
      </w:pPr>
      <w:r>
        <w:t xml:space="preserve">As strange as it may seem, research into fixed vs. growth mindsets has shown that if you believe you can learn something new, you greatly improve your ability to learn. At first, this may seem like the sort of feel-good advice we often encounter in social media posts or quotes that are intended to inspire or motivate us (e.g.,</w:t>
      </w:r>
      <w:r>
        <w:t xml:space="preserve"> </w:t>
      </w:r>
      <w:r>
        <w:rPr>
          <w:iCs/>
          <w:i/>
        </w:rPr>
        <w:t xml:space="preserve">believe in yourself!</w:t>
      </w:r>
      <w:r>
        <w:t xml:space="preserve">), but in looking at the differences outlined between a fixed and a growth mindset, you can see how each part of the growth mindset path would increase your probability of success when it came to learning.</w:t>
      </w:r>
    </w:p>
    <w:bookmarkStart w:id="37" w:name="fs-idm226755904"/>
    <w:p>
      <w:pPr>
        <w:pStyle w:val="Heading3Grey"/>
      </w:pPr>
      <w:r>
        <w:t xml:space="preserve">Activity</w:t>
      </w:r>
    </w:p>
    <w:p>
      <w:pPr>
        <w:pStyle w:val="Heading4Grey"/>
      </w:pPr>
      <w:r>
        <w:t xml:space="preserve"> </w:t>
      </w:r>
    </w:p>
    <w:p>
      <w:pPr>
        <w:pStyle w:val="NoteExampleGrey"/>
      </w:pPr>
      <w:r>
        <w:t xml:space="preserve">Very few people have a strict fixed or growth mindset all of the time. Often we tend to lean one way or another in certain situations. For example, a person trying to improve their ability in a sport they enjoy may exhibit all of the growth mindset traits and characteristics, but they find themselves blocked in a fixed mindset when they try to learn something in another area like computer programming or arithmetic.</w:t>
      </w:r>
    </w:p>
    <w:p>
      <w:pPr>
        <w:pStyle w:val="NoteExampleGrey"/>
      </w:pPr>
      <w:r>
        <w:t xml:space="preserve">In this exercise, do a little self-analysis and think of some areas where you may find yourself hindered by a fixed mindset. Using the outline presented below, in the far right column, write down how you can change your own behavior for each of the parts of the learning process. What will you do to move from a fixed to a growth mindset? For example, say you were trying to learn to play a musical instrument. In the</w:t>
      </w:r>
      <w:r>
        <w:t xml:space="preserve"> </w:t>
      </w:r>
      <w:r>
        <w:rPr>
          <w:iCs/>
          <w:i/>
        </w:rPr>
        <w:t xml:space="preserve">Challenges</w:t>
      </w:r>
      <w:r>
        <w:t xml:space="preserve"> </w:t>
      </w:r>
      <w:r>
        <w:t xml:space="preserve">row, you might pursue a growth path by trying to play increasingly more difficult songs rather than sticking to the easy ones you have already mastered. In the</w:t>
      </w:r>
      <w:r>
        <w:t xml:space="preserve"> </w:t>
      </w:r>
      <w:r>
        <w:rPr>
          <w:iCs/>
          <w:i/>
        </w:rPr>
        <w:t xml:space="preserve">Criticism</w:t>
      </w:r>
      <w:r>
        <w:t xml:space="preserve"> </w:t>
      </w:r>
      <w:r>
        <w:t xml:space="preserve">row, you might take someone’s comment about a weakness in timing as a motivation for you to practice with a metronome. For</w:t>
      </w:r>
      <w:r>
        <w:t xml:space="preserve"> </w:t>
      </w:r>
      <w:r>
        <w:rPr>
          <w:iCs/>
          <w:i/>
        </w:rPr>
        <w:t xml:space="preserve">Success of others</w:t>
      </w:r>
      <w:r>
        <w:t xml:space="preserve"> </w:t>
      </w:r>
      <w:r>
        <w:t xml:space="preserve">you could take inspiration from a famous musician that is considered a master and study their techniques.</w:t>
      </w:r>
    </w:p>
    <w:p>
      <w:pPr>
        <w:pStyle w:val="NoteExampleGrey"/>
      </w:pPr>
      <w:r>
        <w:t xml:space="preserve">Whatever it is that you decide you want to use for your analysis, apply each of the Growth characteristics to determine a course of action to improve.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Parts of the learning process</w:t>
            </w:r>
          </w:p>
        </w:tc>
        <w:tc>
          <w:tcPr>
            <w:tcBorders>
              <w:bottom w:val="single"/>
            </w:tcBorders>
            <w:vAlign w:val="bottom"/>
          </w:tcPr>
          <w:p>
            <w:pPr>
              <w:pStyle w:val="Compact"/>
              <w:jc w:val="left"/>
            </w:pPr>
            <w:r>
              <w:t xml:space="preserve">Growth characteristic</w:t>
            </w:r>
          </w:p>
        </w:tc>
        <w:tc>
          <w:tcPr>
            <w:tcBorders>
              <w:bottom w:val="single"/>
            </w:tcBorders>
            <w:vAlign w:val="bottom"/>
          </w:tcPr>
          <w:p>
            <w:pPr>
              <w:pStyle w:val="Compact"/>
              <w:jc w:val="left"/>
            </w:pPr>
            <w:r>
              <w:t xml:space="preserve">What will you do to adopt a growth mindset?</w:t>
            </w:r>
          </w:p>
        </w:tc>
      </w:tr>
      <w:tr>
        <w:tc>
          <w:p>
            <w:pPr>
              <w:pStyle w:val="Compact"/>
              <w:jc w:val="left"/>
            </w:pPr>
            <w:r>
              <w:t xml:space="preserve">Challenges</w:t>
            </w:r>
          </w:p>
        </w:tc>
        <w:tc>
          <w:p>
            <w:pPr>
              <w:pStyle w:val="Compact"/>
              <w:jc w:val="left"/>
            </w:pPr>
            <w:r>
              <w:t xml:space="preserve">Embraces challenges</w:t>
            </w:r>
          </w:p>
        </w:tc>
        <w:tc>
          <w:p/>
        </w:tc>
      </w:tr>
      <w:tr>
        <w:tc>
          <w:p>
            <w:pPr>
              <w:pStyle w:val="Compact"/>
              <w:jc w:val="left"/>
            </w:pPr>
            <w:r>
              <w:t xml:space="preserve">Obstacles</w:t>
            </w:r>
          </w:p>
        </w:tc>
        <w:tc>
          <w:p>
            <w:pPr>
              <w:pStyle w:val="Compact"/>
              <w:jc w:val="left"/>
            </w:pPr>
            <w:r>
              <w:t xml:space="preserve">Persists despite setbacks</w:t>
            </w:r>
          </w:p>
        </w:tc>
        <w:tc>
          <w:p/>
        </w:tc>
      </w:tr>
      <w:tr>
        <w:tc>
          <w:p>
            <w:pPr>
              <w:pStyle w:val="Compact"/>
              <w:jc w:val="left"/>
            </w:pPr>
            <w:r>
              <w:t xml:space="preserve">Effort</w:t>
            </w:r>
          </w:p>
        </w:tc>
        <w:tc>
          <w:p>
            <w:pPr>
              <w:pStyle w:val="Compact"/>
              <w:jc w:val="left"/>
            </w:pPr>
            <w:r>
              <w:t xml:space="preserve">Sees effort as a path to success</w:t>
            </w:r>
          </w:p>
        </w:tc>
        <w:tc>
          <w:p/>
        </w:tc>
      </w:tr>
      <w:tr>
        <w:tc>
          <w:p>
            <w:pPr>
              <w:pStyle w:val="Compact"/>
              <w:jc w:val="left"/>
            </w:pPr>
            <w:r>
              <w:t xml:space="preserve">Criticism</w:t>
            </w:r>
          </w:p>
        </w:tc>
        <w:tc>
          <w:p>
            <w:pPr>
              <w:pStyle w:val="Compact"/>
              <w:jc w:val="left"/>
            </w:pPr>
            <w:r>
              <w:t xml:space="preserve">Learns from criticism</w:t>
            </w:r>
          </w:p>
        </w:tc>
        <w:tc>
          <w:p/>
        </w:tc>
      </w:tr>
      <w:tr>
        <w:tc>
          <w:p>
            <w:pPr>
              <w:pStyle w:val="Compact"/>
              <w:jc w:val="left"/>
            </w:pPr>
            <w:r>
              <w:t xml:space="preserve">Success of Others</w:t>
            </w:r>
          </w:p>
        </w:tc>
        <w:tc>
          <w:p>
            <w:pPr>
              <w:pStyle w:val="Compact"/>
              <w:jc w:val="left"/>
            </w:pPr>
            <w:r>
              <w:t xml:space="preserve">Finds learning and inspiration in the success of others</w:t>
            </w:r>
          </w:p>
        </w:tc>
        <w:tc>
          <w:p/>
        </w:tc>
      </w:tr>
    </w:tbl>
    <w:p>
      <w:pPr>
        <w:pStyle w:val="NoteExampleGrey"/>
      </w:pPr>
      <w:r>
        <w:t xml:space="preserve">Table</w:t>
      </w:r>
      <w:r>
        <w:t xml:space="preserve"> </w:t>
      </w:r>
      <w:r>
        <w:t xml:space="preserve"> </w:t>
      </w:r>
      <w:r>
        <w:t xml:space="preserve">2.4</w:t>
      </w:r>
      <w:r>
        <w:t xml:space="preserve"> </w:t>
      </w:r>
      <w:r>
        <w:t xml:space="preserve"> </w:t>
      </w:r>
      <w:r>
        <w:t xml:space="preserve"> </w:t>
      </w:r>
      <w:r>
        <w:t xml:space="preserve"> </w:t>
      </w:r>
      <w:r>
        <w:t xml:space="preserve"> </w:t>
      </w:r>
      <w:r>
        <w:t xml:space="preserve"> </w:t>
      </w:r>
    </w:p>
    <w:bookmarkEnd w:id="37"/>
    <w:bookmarkEnd w:id="38"/>
    <w:bookmarkEnd w:id="39"/>
    <w:bookmarkEnd w:id="40"/>
    <w:bookmarkEnd w:id="41"/>
    <w:bookmarkEnd w:id="42"/>
    <w:bookmarkEnd w:id="4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70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1" Target="media/rId21.jpe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hyperlink" Id="rId23" Target="https://openstax.org/l/collegesurvey1-5"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3" Target="https://openstax.org/l/collegesurvey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2022-08-11T00:33:46Z</dcterms:created>
  <dcterms:modified xsi:type="dcterms:W3CDTF">2022-08-11T00:33:46Z</dcterms:modified>
</cp:coreProperties>
</file>

<file path=docProps/custom.xml><?xml version="1.0" encoding="utf-8"?>
<Properties xmlns="http://schemas.openxmlformats.org/officeDocument/2006/custom-properties" xmlns:vt="http://schemas.openxmlformats.org/officeDocument/2006/docPropsVTypes"/>
</file>