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34"/>
    <w:bookmarkStart w:id="21" w:name="where-do-you-go-from-here"/>
    <w:p>
      <w:pPr>
        <w:pStyle w:val="Heading2"/>
      </w:pPr>
      <w:r>
        <w:t xml:space="preserve">Where do you go from here?</w:t>
      </w:r>
    </w:p>
    <w:bookmarkStart w:id="20" w:name="fs-idm360932336"/>
    <w:p>
      <w:pPr>
        <w:pStyle w:val="FirstParagraph"/>
      </w:pPr>
      <w:r>
        <w:t xml:space="preserve">This chapter touched on many elements of civility and diversity, and mentioned a wide array of groups, identities, and populations. But the chapter certainly did not explore every concept or reflect every group you may encounter. In a similar way, you can’t know everything about everyone, but you can build cultural competency and understanding to make people feel included and deepen your abilities and relationships.</w:t>
      </w:r>
    </w:p>
    <w:p>
      <w:pPr>
        <w:pStyle w:val="TextBody"/>
      </w:pPr>
      <w:r>
        <w:t xml:space="preserve">Sometimes learning about one group or making one person feel comfortable can be as important as addressing a larger population. To that end, consider researching or discussing one of the following topics to increase your level of civility and understanding:</w:t>
      </w:r>
    </w:p>
    <w:p>
      <w:pPr>
        <w:numPr>
          <w:ilvl w:val="0"/>
          <w:numId w:val="1001"/>
        </w:numPr>
        <w:pStyle w:val="Compact"/>
      </w:pPr>
      <w:r>
        <w:t xml:space="preserve">Appropriate terminology and ways to address members of certain populations. For example, ways to properly describe people with certain disabilities, or discuss issues around racial or gender identity.</w:t>
      </w:r>
    </w:p>
    <w:p>
      <w:pPr>
        <w:numPr>
          <w:ilvl w:val="0"/>
          <w:numId w:val="1001"/>
        </w:numPr>
        <w:pStyle w:val="Compact"/>
      </w:pPr>
      <w:r>
        <w:t xml:space="preserve">Discussions or debates related to civility and intersectionality, such as whether “Latinx” should be used instead of “Latino/Latina,” or whether certain sports team mascots can be considered offensive.</w:t>
      </w:r>
    </w:p>
    <w:p>
      <w:pPr>
        <w:numPr>
          <w:ilvl w:val="0"/>
          <w:numId w:val="1001"/>
        </w:numPr>
        <w:pStyle w:val="Compact"/>
      </w:pPr>
      <w:r>
        <w:t xml:space="preserve">Major historical figures or events related to a certain group.</w:t>
      </w:r>
    </w:p>
    <w:p>
      <w:pPr>
        <w:numPr>
          <w:ilvl w:val="0"/>
          <w:numId w:val="1001"/>
        </w:numPr>
        <w:pStyle w:val="Compact"/>
      </w:pPr>
      <w:r>
        <w:t xml:space="preserve">Academic majors and research centers/groups related to aspects of diversity.</w:t>
      </w:r>
    </w:p>
    <w:p>
      <w:pPr>
        <w:numPr>
          <w:ilvl w:val="0"/>
          <w:numId w:val="1001"/>
        </w:numPr>
        <w:pStyle w:val="Compact"/>
      </w:pPr>
      <w:r>
        <w:t xml:space="preserve">Historical events at your college or in your city related to civil rights.</w:t>
      </w:r>
    </w:p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2022-08-11T00:34:08Z</dcterms:created>
  <dcterms:modified xsi:type="dcterms:W3CDTF">2022-08-11T00:34:08Z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