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Journal of Systems and Software</w:t>
      </w:r>
    </w:p>
    <w:p>
      <w:r>
        <w:t>Dear Editors,</w:t>
      </w:r>
    </w:p>
    <w:p>
      <w:r>
        <w:t>We submit for your consideration the manuscript “Silent order corruption in per-sample evaluation artefacts: control degeneration, diagnostic blind spots, and a provenance contract.”</w:t>
      </w:r>
    </w:p>
    <w:p>
      <w:r>
        <w:t>Machine-learning papers increasingly report per-sample results — per-instance difficulty analyses, sample-level ablations, per-instance routing — and every such analysis joins two artefacts written by different parts of a pipeline. In practice the join is positional: entry i of the error vector is assumed to describe row i of the feature table. We study what happens when that assumption silently fails, using a widely adopted forecasting library as the carrier: its data provider disables shuffling for the test split and leaves it enabled for validation, which is correct for a loader consumed through a mean and becomes a hazard the moment a per-sample artefact is stored from that split.</w:t>
      </w:r>
    </w:p>
    <w:p>
      <w:r>
        <w:t>We believe the manuscript fits JSS for three reasons.</w:t>
      </w:r>
    </w:p>
    <w:p>
      <w:r>
        <w:t>It characterises a fault class, not a single bug. We prove that the fault leaves every order-symmetric aggregate the pipeline checks numerically unchanged, that the shape assertion which array-oriented code habitually writes is blind to it by construction whenever the last partial batch is kept, and that under an exchangeability assumption it attenuates association towards the null — so it does not fabricate a positive finding, only a spurious negative one.</w:t>
      </w:r>
    </w:p>
    <w:p>
      <w:r>
        <w:t>Its central result is about the limits of a standard validation device. We prove that the corrupted joined table is equal in distribution to the table produced by the shuffled-feature negative control that the community uses to validate exactly this kind of analysis. A per-sample null result accompanied by a well-behaved negative control is therefore exactly as consistent with a broken join as with a true null; under this fault the control is uninformative by construction. We are not aware of a prior statement of this degeneracy, and we verify it with equivalence tests rather than with a failure to reject. We also isolate the single case in which the defect and the control do differ — analyses whose label is derived from several independently written vectors, per-sample arm selection being the common instance — and show that the difference runs the wrong way: the control preserves the label law and therefore reports a milder failure than the fault produces, which we confirm both theoretically and on the label distributions of our grid.</w:t>
      </w:r>
    </w:p>
    <w:p>
      <w:r>
        <w:t>It delivers tooling whose limits we measure rather than assert. We give a write-side provenance contract that binds each per-sample artefact to a digest of its ordered sample identifiers, so that a positional join fails closed, and two read-side diagnostics that need only the stored vectors — one exploiting the serial dependence that overlapping windows induce, with exact randomisation moments and hence an O(n) p-value, and one exploiting cross-arm agreement, which needs no serial structure. The honest finding is that the two roles are not symmetric. Against 25 injected identity faults the contract refuses 20 and we enumerate the 5 it cannot see. The order test flags 90.63 % of arms in the real defect, but flags 0.0 % of our injected block permutations and mild partial permutations, so we present it as a targeted diagnostic for near-random permutation rather than a general integrity test. The cross-arm test assumes weakly correlated arm-wise permutations, and in the real defect it is broken by its own assumption: 20 of 24 defective groups share order across at least one arm pair, and the test certifies 91.67 % of genuinely corrupted groups as clean. We therefore recommend the contract as the primary defence and the diagnostics as narrow forensic instruments, and we state the blind spots in the abstract rather than burying them.</w:t>
      </w:r>
    </w:p>
    <w:p>
      <w:r>
        <w:t>The revision also strengthens the statistical treatment. Window-level statistics are re-analysed with circular block permutation and moving-block bootstrap, and group-level statistics with dataset and sample-set cluster bootstrap, so that no verdict rests on an independence assumption that overlapping windows violate. We additionally report a dynamic purge audit separating the horizon-only and input-plus-horizon exclusion radii. We also corrected an analytic variance term in the cross-arm statistic and quantify a maintenance trap: the obvious one-line repair changes the random stream and therefore the reported test error, so a maintainer must re-run rather than patch.</w:t>
      </w:r>
    </w:p>
    <w:p>
      <w:r>
        <w:t>The manuscript is fully reproducible. It contains no typed number: every quantitative claim expands a macro generated from the released artefacts, and a verification script re-derives each one independently and fails on any mismatch. The per-sample vectors, their provenance sidecars, the observed permutations, and the controlled sharing conditions are all released, so a reader can run the audit without a GPU. The artefacts, the reference implementation, the test suite and the manuscript sources are at &lt;https://github.com/oscarliu2019/order-provenance-audit&gt;.</w:t>
      </w:r>
    </w:p>
    <w:p>
      <w:r>
        <w:t>The archived release is at &lt;https://doi.org/10.5281/zenodo.22809148&gt;.</w:t>
      </w:r>
    </w:p>
    <w:p>
      <w:r>
        <w:t>Disclosure of related work by the same authors. A companion manuscript, *“Large per-window oracle headroom that three selector families did not convert: a feedback-delay audit of plug-in selection for time series forecasting,”* is under review elsewhere. The two manuscripts share the forecasting grid, the trained checkpoints, the dataset preparation, the same loader-order defect and the same corrected cross-arm variance term; they address disjoint questions and report disjoint results. The present manuscript contributes the control degeneracy proposition, the two order diagnostics and their measured blind spots, the observed-permutation audit, the provenance contract, the dependence-aware re-analysis and the repair-cost measurement. The companion contributes selector training, the feedback-delay model, oracle headroom and gating policy. Neither manuscript’s claims depend on the other’s acceptance, and the shared material is described identically in both. We cite it in the present manuscript and state the relationship in a dedicated declaration so that the overlap can be assessed directly. We are happy to supply the companion manuscript to the editors on request.</w:t>
      </w:r>
    </w:p>
    <w:p>
      <w:r>
        <w:t>The work is original, has not been published elsewhere, and is not under consideration by another journal. All authors have approved the submission and declare no competing interests. Our use of a large language model was limited to copy-editing, LaTeX formatting and the drafting of analysis and plotting scripts, and is disclosed in the manuscript; all experimental design, statistical decisions and conclusions are the authors’ own.</w:t>
      </w:r>
    </w:p>
    <w:p>
      <w:r>
        <w:t>Thank you for your consideration.</w:t>
      </w:r>
    </w:p>
    <w:p>
      <w:r>
        <w:t>Sincerely,</w:t>
      </w:r>
    </w:p>
    <w:p>
      <w:r>
        <w:t>Mianhan Liu (corresponding author) and Chen Chen Shanghai, China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