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Declaration of interests</w:t>
      </w:r>
    </w:p>
    <w:p>
      <w:r>
        <w:t>Manuscript title: Silent order corruption in per-sample evaluation artefacts: why the standard negative control cannot detect it, and two tests that can</w:t>
      </w:r>
    </w:p>
    <w:p>
      <w:r>
        <w:t>Journal: Journal of Systems and Software</w:t>
      </w:r>
    </w:p>
    <w:p/>
    <w:p>
      <w:r>
        <w:t>☒ The authors declare that they have no known competing financial interests or personal relationships that could have appeared to influence the work reported in this paper.</w:t>
      </w:r>
    </w:p>
    <w:p/>
    <w:p>
      <w:r>
        <w:t>Author names: Mianhan Liu, Chen Chen</w:t>
      </w:r>
    </w:p>
    <w:p>
      <w:r>
        <w:t>Date: 17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