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b7iw1p5b0w5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DOC-033 — Portfolio Transition Capability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1013fdagih0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DOC-033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Portfolio Transition Capability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Capability Architecture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Dependencias: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Proceso de Determinación de Responsabilidades Arquitectónicas Emergentes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DOC-032 — Portfolio Capability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jo1hexxtqxi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Propósito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 tiene como propósito transformar el estado actual del portafolio y el estado objetivo previamente determinado en una representación contractual de la transformación del dominio necesaria para convertir uno en otro.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Capability constituye la frontera arquitectónica entre la determinación del estado objetivo del portafolio y su posterior materialización operacional.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se limita exclusivamente al dominio de inversión.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determina estados objetivo.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ejecuta operaciones.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interactúa con brokers, mercados o infraestructura.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único propósito consiste en publicar la transformación del dominio requerida para que una Capability posterior pueda iniciar la ejecución operacional sin reinterpretar responsabilidades previamente ejercidas.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9fhziwjsna9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Responsabilidad Arquitectónica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arquitectónica de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 consiste exclusivamente en determinar y publicar la transformación autorizada del dominio necesaria para convertir un estado actual válido del portafolio en el estado objetivo previamente determinado por la Capability Portfolio.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comienza cuando existen simultáneamente: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contexto de dominio correspondiente al estado actual del portafolio;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contrato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arquitectónicamente válido.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finaliza inmediatamente después de publicar el contrato público correspondiente a la transformación del portafolio.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Capability:</w:t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determina el estado objetivo;</w:t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el estado actual;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interpreta decisiones de inversión;</w:t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evalúa riesgo;</w:t>
      </w:r>
    </w:p>
    <w:p w:rsidR="00000000" w:rsidDel="00000000" w:rsidP="00000000" w:rsidRDefault="00000000" w:rsidRPr="00000000" w14:paraId="0000002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ejecuta operaciones;</w:t>
      </w:r>
    </w:p>
    <w:p w:rsidR="00000000" w:rsidDel="00000000" w:rsidP="00000000" w:rsidRDefault="00000000" w:rsidRPr="00000000" w14:paraId="0000002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interactúa con infraestructura.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qj0mtavvmmx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Alcance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Capability comprende exclusivamente: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consumir el estado actual del portafolio como contexto de dominio;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consumir el contrato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la transformación del dominio necesaria entre ambos estados;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dicha transformación mediante un contrato público de dominio.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Capability no comprende: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determinación del estado objetivo del portafolio;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órdenes;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operacional;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de operaciones;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brokers;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mercados;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de ejecución;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monitorización de órdenes.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c15gn8gzklm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Contratos Públicos de Entrada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 consume exclusivamente un único contrato público producido por otra Capability.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de entrada corresponde al </w:t>
      </w:r>
      <w:r w:rsidDel="00000000" w:rsidR="00000000" w:rsidRPr="00000000">
        <w:rPr>
          <w:b w:val="1"/>
          <w:bCs w:val="1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, publicado por la Capability </w:t>
      </w:r>
      <w:r w:rsidDel="00000000" w:rsidR="00000000" w:rsidRPr="00000000">
        <w:rPr>
          <w:b w:val="1"/>
          <w:bCs w:val="1"/>
          <w:rtl w:val="0"/>
        </w:rPr>
        <w:t xml:space="preserve">Portfolio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contrato representa el estado objetivo del portafolio previamente determinado y constituye la única entrada contractual autorizada de la Capability.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 no consumirá contratos privados ni representaciones internas pertenecientes a otras Capabilities.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futura deberá preservar la estabilidad contractual de esta frontera arquitectónica.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tdwusyhbymv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Contextos de Dominio de Entrada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 del contrato público consumido, Portfolio Transition requiere un único contexto de dominio correspondiente al estado actual del portafolio.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Current Portfolio State</w:t>
      </w:r>
      <w:r w:rsidDel="00000000" w:rsidR="00000000" w:rsidRPr="00000000">
        <w:rPr>
          <w:rtl w:val="0"/>
        </w:rPr>
        <w:t xml:space="preserve"> representa la realidad existente del dominio en el momento en que la Capability ejerce su responsabilidad.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contexto:</w:t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constituye un contrato público;</w:t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es publicado por ninguna Capability;</w:t>
      </w:r>
    </w:p>
    <w:p w:rsidR="00000000" w:rsidDel="00000000" w:rsidP="00000000" w:rsidRDefault="00000000" w:rsidRPr="00000000" w14:paraId="0000004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su naturaleza arquitectónica por el hecho de ser consumido;</w:t>
      </w:r>
    </w:p>
    <w:p w:rsidR="00000000" w:rsidDel="00000000" w:rsidP="00000000" w:rsidRDefault="00000000" w:rsidRPr="00000000" w14:paraId="0000004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permanece independiente de la Capability Portfolio Transition.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consume dicho contexto exclusivamente como referencia del estado presente del portafolio para determinar la transformación necesaria hacia el estado objetivo.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upe293m1qjb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Contrato Público de Salida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 publica un único contrato público.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representa exclusivamente la </w:t>
      </w:r>
      <w:r w:rsidDel="00000000" w:rsidR="00000000" w:rsidRPr="00000000">
        <w:rPr>
          <w:b w:val="1"/>
          <w:bCs w:val="1"/>
          <w:rtl w:val="0"/>
        </w:rPr>
        <w:t xml:space="preserve">transformación autorizada del dominio</w:t>
      </w:r>
      <w:r w:rsidDel="00000000" w:rsidR="00000000" w:rsidRPr="00000000">
        <w:rPr>
          <w:rtl w:val="0"/>
        </w:rPr>
        <w:t xml:space="preserve"> necesaria para convertir el estado actual del portafolio en el estado objetivo previamente determinado.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contrato: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representa un estado del portafolio;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representa una decisión de inversión;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representa una evaluación de riesgo;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representa una orden de mercado;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representa un plan de ejecución;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representa instrucciones dirigidas a una infraestructura específica.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constituye el único resultado público autorizado de la Capability y será consumido íntegramente por la Capability Execution.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PortfolioTransition constituye el único contrato público de salida de la Capability.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pública de dicho contrato podrá estar compuesta por valores públicos tipados que formen parte de su estructura contractual.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valores no constituyen contratos públicos de salida adicionales ni representan activos de dominio independientes.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cpikvf4o65g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Fronteras Arquitectónicas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de entrada de Portfolio Transition comienza cuando existen simultáneamente: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contexto de dominio correspondiente al estado actual del portafolio;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contrato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arquitectónicamente válido.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de salida finaliza inmediatamente después de publicar el contrato público correspondiente a la transformación autorizada del portafolio.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 no ejercerá responsabilidades pertenecientes a: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Asimismo, ninguna Capability posterior reinterpretará la transformación del dominio ya determinada por Portfolio Transition.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interacción entre Capabilities deberá realizarse exclusivamente mediante contratos públicos y contextos de dominio previamente autorizados.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858of7p5wk6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Relaciones Arquitectónicas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pcis15xez0s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Relación con Portfolio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determina exclusivamente el estado objetivo del portafolio y publica dicho resultado mediante el contrato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 consume dicho contrato sin reinterpretar la responsabilidad previamente ejercida por Portfolio.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entre ambas Capabilities queda limitada al consumo del contrato público autorizado.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participa en la determinación de la transformación del dominio.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c3ck16ny19t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Relación con Execution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consume exclusivamente el contrato público publicado por Portfolio Transition para iniciar su propia responsabilidad arquitectónica.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determina nuevamente la transformación del dominio.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interpreta el estado objetivo del portafolio.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consume directamente el contexto correspondiente al estado actual del portafolio como parte de la responsabilidad ejercida por Portfolio Transition.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Execution comienza únicamente cuando la transformación autorizada del dominio ha sido completamente determinada y publicada.</w:t>
      </w:r>
    </w:p>
    <w:p w:rsidR="00000000" w:rsidDel="00000000" w:rsidP="00000000" w:rsidRDefault="00000000" w:rsidRPr="00000000" w14:paraId="0000007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jsewlsh1879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Invariantes Arquitectónicas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 deberá preservar permanentemente las siguientes propiedades arquitectónicas.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ib6q858m5bb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IA-001 — Responsabilidad Única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 ejercerá exclusivamente la responsabilidad de determinar y publicar la transformación autorizada del dominio necesaria para convertir el estado actual del portafolio en el estado objetivo previamente determinado.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incorporará responsabilidades pertenecientes a:</w:t>
      </w:r>
    </w:p>
    <w:p w:rsidR="00000000" w:rsidDel="00000000" w:rsidP="00000000" w:rsidRDefault="00000000" w:rsidRPr="00000000" w14:paraId="0000007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7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07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7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futura deberá preservar esta responsabilidad única.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rwq5gdx8in1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IA-002 — Contrato Público Único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publicará exclusivamente un único contrato público correspondiente a la transformación autorizada del portafolio.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la incorporación de contratos públicos de salida adicionales.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composición estructural del contrato podrá incorporar valores públicos tipados cuando éstos formen parte de la representación contractual del único contrato publicado por la Capability.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izalez07f9m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IA-003 — Independencia Contractual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publicada constituirá un activo contractual independiente.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naturaleza no dependerá: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del mecanismo de ejecución;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 broker utilizado;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 la infraestructura;</w:t>
      </w:r>
    </w:p>
    <w:p w:rsidR="00000000" w:rsidDel="00000000" w:rsidP="00000000" w:rsidRDefault="00000000" w:rsidRPr="00000000" w14:paraId="0000008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 la implementación interna de la Capability.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deberá preservar esta independencia.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bmo24lf7rpj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IA-004 — Frontera Arquitectónica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consumirá exclusivamente: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contrato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contexto de dominio correspondiente al estado actual del portafolio.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interacción con otras Capabilities deberá realizarse únicamente mediante dichas fronteras autorizadas.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ggab5u9pzn4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IA-005 — Consumibilidad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publicada deberá ser suficiente para que la Capability Execution pueda iniciar íntegramente su responsabilidad sin reinterpretar responsabilidades pertenecientes a Portfolio Transition.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futura deberá preservar esta propiedad.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b8dv7rumc8u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Restricciones Arquitectónicas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Portfolio Transition deberá respetar permanentemente las siguientes restricciones.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jcpdlls0hys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RA-001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determinar estados objetivo del portafolio.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Esa responsabilidad pertenece exclusivamente a Portfolio.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39f7472e7cu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RA-002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modificar el contexto correspondiente al estado actual del portafolio.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contexto será consumido exclusivamente como realidad existente del dominio.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6abozqgbtqo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RA-003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generar órdenes.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66x2yvcajp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RA-004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planificar la ejecución operacional.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7y7i4khlpe5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RA-005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interactuar con brokers.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z9cr930bz6f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RA-006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interactuar con mercados.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itf31gvp6dn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RA-007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incorporar infraestructura.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lvvmshrib7q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RA-008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interpretar nuevamente decisiones de inversión.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w8g69b23x6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RA-009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evaluar riesgo.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uktbhfmljm7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RA-010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ejecutar operaciones.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responsabilidades operacionales permanecerán fuera de la presente Capability.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l8mnocaddvp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Consecuencias Arquitectónicas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Portfolio Transition produce las siguientes consecuencias permanentes sobre la arquitectura del sistema.</w:t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oqhxp2luz5u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CA-001 — Separación de Responsabilidades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determinación del estado objetivo y la determinación de la transformación del dominio pasan a constituir responsabilidades arquitectónicas independientes.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separación elimina duplicación entre Portfolio y Execution.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epx50q9185c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CA-002 — Desacoplamiento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deja de depender de:</w:t>
      </w:r>
    </w:p>
    <w:p w:rsidR="00000000" w:rsidDel="00000000" w:rsidP="00000000" w:rsidRDefault="00000000" w:rsidRPr="00000000" w14:paraId="000000C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representación del estado objetivo;</w:t>
      </w:r>
    </w:p>
    <w:p w:rsidR="00000000" w:rsidDel="00000000" w:rsidP="00000000" w:rsidRDefault="00000000" w:rsidRPr="00000000" w14:paraId="000000C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comparación entre estados;</w:t>
      </w:r>
    </w:p>
    <w:p w:rsidR="00000000" w:rsidDel="00000000" w:rsidP="00000000" w:rsidRDefault="00000000" w:rsidRPr="00000000" w14:paraId="000000C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lógica utilizada para determinar la transformación del dominio.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dependerá exclusivamente del contrato público publicado por Portfolio Transition.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7n78gyfhj8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CA-003 — Evolución Independiente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evolucionar independientemente mientras preserven los contratos públicos definidos por sus respectivas fronteras arquitectónicas.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lbr6j7j1jli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CA-004 — Estabilidad Contractual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del dominio pasa a constituir un contrato público estable.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evolución futura de la implementación no podrá modificar su naturaleza arquitectónica sin actualizar previamente la documentación correspondiente.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r7gin3xrhq1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CA-005 — Trazabilidad Arquitectónica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preserva una secuencia completa de responsabilidades del dominio.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DecisionProposal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RiskEvaluationResult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PortfolioTransition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Execution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contrato representa una realidad distinta del dominio y constituye la única salida pública autorizada de su Capability propietaria.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