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j0f8w8o7gwg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IT-027-001 — Strategy Domain Model MVP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Documento de Implementación Técnica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0.1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Draft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Implementa:</w:t>
      </w:r>
      <w:r w:rsidDel="00000000" w:rsidR="00000000" w:rsidRPr="00000000">
        <w:rPr>
          <w:rtl w:val="0"/>
        </w:rPr>
        <w:t xml:space="preserve"> DOC-027 — Strategy Evaluation Capability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9c5w8xsyhb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Objetivo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Implementar el modelo de dominio canónico de la </w:t>
      </w:r>
      <w:r w:rsidDel="00000000" w:rsidR="00000000" w:rsidRPr="00000000">
        <w:rPr>
          <w:b w:val="1"/>
          <w:bCs w:val="1"/>
          <w:rtl w:val="0"/>
        </w:rPr>
        <w:t xml:space="preserve">Strategy Evaluation Capability</w:t>
      </w:r>
      <w:r w:rsidDel="00000000" w:rsidR="00000000" w:rsidRPr="00000000">
        <w:rPr>
          <w:rtl w:val="0"/>
        </w:rPr>
        <w:t xml:space="preserve">, proporcionando las entidades, objetos de valor, invariantes y excepciones necesarias para representar formalmente una </w:t>
      </w:r>
      <w:r w:rsidDel="00000000" w:rsidR="00000000" w:rsidRPr="00000000">
        <w:rPr>
          <w:b w:val="1"/>
          <w:bCs w:val="1"/>
          <w:rtl w:val="0"/>
        </w:rPr>
        <w:t xml:space="preserve">Strategy</w:t>
      </w:r>
      <w:r w:rsidDel="00000000" w:rsidR="00000000" w:rsidRPr="00000000">
        <w:rPr>
          <w:rtl w:val="0"/>
        </w:rPr>
        <w:t xml:space="preserve"> y su </w:t>
      </w:r>
      <w:r w:rsidDel="00000000" w:rsidR="00000000" w:rsidRPr="00000000">
        <w:rPr>
          <w:b w:val="1"/>
          <w:bCs w:val="1"/>
          <w:rtl w:val="0"/>
        </w:rPr>
        <w:t xml:space="preserve">Strategy Evaluation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establece la base del dominio sin incorporar lógica de aplicación, infraestructura, persistencia ni contratos públicos.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ffxbacc6w2a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Alcance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implementa exclusivamente el modelo de dominio.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Incluye: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Entity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Entity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Value Object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EvaluationContext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Value Object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EvaluationCriteria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Excepciones del dominio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Validaciones de invariantes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 unitarias del dominio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lihohcsn6o0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Fuera de Alcance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no implementa:</w:t>
      </w:r>
    </w:p>
    <w:p w:rsidR="00000000" w:rsidDel="00000000" w:rsidP="00000000" w:rsidRDefault="00000000" w:rsidRPr="00000000" w14:paraId="00000018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motores de evaluación;</w:t>
      </w:r>
    </w:p>
    <w:p w:rsidR="00000000" w:rsidDel="00000000" w:rsidP="00000000" w:rsidRDefault="00000000" w:rsidRPr="00000000" w14:paraId="0000001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cálculo de métricas;</w:t>
      </w:r>
    </w:p>
    <w:p w:rsidR="00000000" w:rsidDel="00000000" w:rsidP="00000000" w:rsidRDefault="00000000" w:rsidRPr="00000000" w14:paraId="0000001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backtesting;</w:t>
      </w:r>
    </w:p>
    <w:p w:rsidR="00000000" w:rsidDel="00000000" w:rsidP="00000000" w:rsidRDefault="00000000" w:rsidRPr="00000000" w14:paraId="0000001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1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repositorios;</w:t>
      </w:r>
    </w:p>
    <w:p w:rsidR="00000000" w:rsidDel="00000000" w:rsidP="00000000" w:rsidRDefault="00000000" w:rsidRPr="00000000" w14:paraId="0000001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serialización;</w:t>
      </w:r>
    </w:p>
    <w:p w:rsidR="00000000" w:rsidDel="00000000" w:rsidP="00000000" w:rsidRDefault="00000000" w:rsidRPr="00000000" w14:paraId="0000001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interfaces públicas;</w:t>
      </w:r>
    </w:p>
    <w:p w:rsidR="00000000" w:rsidDel="00000000" w:rsidP="00000000" w:rsidRDefault="00000000" w:rsidRPr="00000000" w14:paraId="0000001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integración con Knowledge;</w:t>
      </w:r>
    </w:p>
    <w:p w:rsidR="00000000" w:rsidDel="00000000" w:rsidP="00000000" w:rsidRDefault="00000000" w:rsidRPr="00000000" w14:paraId="0000002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integración con Research;</w:t>
      </w:r>
    </w:p>
    <w:p w:rsidR="00000000" w:rsidDel="00000000" w:rsidP="00000000" w:rsidRDefault="00000000" w:rsidRPr="00000000" w14:paraId="0000002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integración con Data;</w:t>
      </w:r>
    </w:p>
    <w:p w:rsidR="00000000" w:rsidDel="00000000" w:rsidP="00000000" w:rsidRDefault="00000000" w:rsidRPr="00000000" w14:paraId="00000022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comparación entre estrategias.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responsabilidades pertenecen a incrementos posteriores.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oqpi34utocc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Modelo del Dominio</w:t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3xxv7m62z8g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Entity — Strategy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la especificación formal e inmutable de una metodología de inversión.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Strategy define </w:t>
      </w:r>
      <w:r w:rsidDel="00000000" w:rsidR="00000000" w:rsidRPr="00000000">
        <w:rPr>
          <w:b w:val="1"/>
          <w:bCs w:val="1"/>
          <w:rtl w:val="0"/>
        </w:rPr>
        <w:t xml:space="preserve">qué pretende hacer</w:t>
      </w:r>
      <w:r w:rsidDel="00000000" w:rsidR="00000000" w:rsidRPr="00000000">
        <w:rPr>
          <w:rtl w:val="0"/>
        </w:rPr>
        <w:t xml:space="preserve"> una metodología de inversión.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contiene resultados de evaluación.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contiene conocimiento.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contiene métricas.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contiene estado operacional.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4dvmtlsbzv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Responsabilidades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Mantener la identidad de la estrategia.</w:t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Representar sus reglas y parámetros.</w:t>
      </w:r>
    </w:p>
    <w:p w:rsidR="00000000" w:rsidDel="00000000" w:rsidP="00000000" w:rsidRDefault="00000000" w:rsidRPr="00000000" w14:paraId="0000003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Garantizar la consistencia de su definición.</w:t>
      </w:r>
    </w:p>
    <w:p w:rsidR="00000000" w:rsidDel="00000000" w:rsidP="00000000" w:rsidRDefault="00000000" w:rsidRPr="00000000" w14:paraId="00000031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Permanecer inmutable una vez publicada.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fwrk2en1oag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4.2 Entity — StrategyEvaluation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la evaluación formal de una Strategy bajo un contexto determinado utilizando una versión explícita del conocimiento.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0omznr49w0q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Responsabilidades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Mantener la identidad de la evaluación.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Asociar una Strategy con un EvaluationContext.</w:t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Registrar explícitamente knowledge_id y knowledge_version como referencias opacas; el par identifica inequívocamente la versión de Knowledge utilizada.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Contener el resultado de la evaluación.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trazabilidad completa.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fz2hds2ic4o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4.3 Value Object — EvaluationContext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Describe las condiciones bajo las cuales se realiza una evaluación.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mínimo deberá representar conceptualmente:</w:t>
      </w:r>
    </w:p>
    <w:p w:rsidR="00000000" w:rsidDel="00000000" w:rsidP="00000000" w:rsidRDefault="00000000" w:rsidRPr="00000000" w14:paraId="0000003F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período de evaluación;</w:t>
      </w:r>
    </w:p>
    <w:p w:rsidR="00000000" w:rsidDel="00000000" w:rsidP="00000000" w:rsidRDefault="00000000" w:rsidRPr="00000000" w14:paraId="0000004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universo de activos;</w:t>
      </w:r>
    </w:p>
    <w:p w:rsidR="00000000" w:rsidDel="00000000" w:rsidP="00000000" w:rsidRDefault="00000000" w:rsidRPr="00000000" w14:paraId="0000004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horizonte temporal;</w:t>
      </w:r>
    </w:p>
    <w:p w:rsidR="00000000" w:rsidDel="00000000" w:rsidP="00000000" w:rsidRDefault="00000000" w:rsidRPr="00000000" w14:paraId="0000004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régimen de mercado;</w:t>
      </w:r>
    </w:p>
    <w:p w:rsidR="00000000" w:rsidDel="00000000" w:rsidP="00000000" w:rsidRDefault="00000000" w:rsidRPr="00000000" w14:paraId="00000043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restricciones relevantes.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EvaluationContext con los mismos valores representan exactamente el mismo contexto.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caglq31tybv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4.4 Value Object — EvaluationCriteria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 los criterios utilizados para caracterizar una Strategy.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posee identidad propia.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ser completamente inmutable.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implementación concreta se ampliará en incrementos posteriores.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p0c6pujsevx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Invariantes del Dominio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deberá garantizar, como mínimo, las siguientes invariantes:</w:t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6muvii42w7j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Strategy</w:t>
      </w:r>
    </w:p>
    <w:p w:rsidR="00000000" w:rsidDel="00000000" w:rsidP="00000000" w:rsidRDefault="00000000" w:rsidRPr="00000000" w14:paraId="0000004F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posee identidad única;</w:t>
      </w:r>
    </w:p>
    <w:p w:rsidR="00000000" w:rsidDel="00000000" w:rsidP="00000000" w:rsidRDefault="00000000" w:rsidRPr="00000000" w14:paraId="0000005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puede existir sin definición válida;</w:t>
      </w:r>
    </w:p>
    <w:p w:rsidR="00000000" w:rsidDel="00000000" w:rsidP="00000000" w:rsidRDefault="00000000" w:rsidRPr="00000000" w14:paraId="0000005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mantiene estado operacional;</w:t>
      </w:r>
    </w:p>
    <w:p w:rsidR="00000000" w:rsidDel="00000000" w:rsidP="00000000" w:rsidRDefault="00000000" w:rsidRPr="00000000" w14:paraId="0000005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depende de Knowledge;</w:t>
      </w:r>
    </w:p>
    <w:p w:rsidR="00000000" w:rsidDel="00000000" w:rsidP="00000000" w:rsidRDefault="00000000" w:rsidRPr="00000000" w14:paraId="0000005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depende de Data;</w:t>
      </w:r>
    </w:p>
    <w:p w:rsidR="00000000" w:rsidDel="00000000" w:rsidP="00000000" w:rsidRDefault="00000000" w:rsidRPr="00000000" w14:paraId="00000054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depende de infraestructura.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v1pseps0q5e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StrategyEvaluation</w:t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referencia exactamente una Strategy;</w:t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referencia exactamente un EvaluationContext;</w:t>
      </w:r>
    </w:p>
    <w:p w:rsidR="00000000" w:rsidDel="00000000" w:rsidP="00000000" w:rsidRDefault="00000000" w:rsidRPr="00000000" w14:paraId="0000005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referencia inequívocamente una versión de Knowledge mediante el par (knowledge_id, knowledge_version);</w:t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 una única evaluación;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 completamente trazable;</w:t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 inmutable una vez publicada.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g3ps6phjxek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EvaluationContext</w:t>
      </w:r>
    </w:p>
    <w:p w:rsidR="00000000" w:rsidDel="00000000" w:rsidP="00000000" w:rsidRDefault="00000000" w:rsidRPr="00000000" w14:paraId="0000005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 completamente inmutable;</w:t>
      </w:r>
    </w:p>
    <w:p w:rsidR="00000000" w:rsidDel="00000000" w:rsidP="00000000" w:rsidRDefault="00000000" w:rsidRPr="00000000" w14:paraId="00000060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igualdad depende exclusivamente de sus valores.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zd5hmkvrdkw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EvaluationCriteria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 completamente inmutable;</w:t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posee identidad.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rwy1uklfhhr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Excepciones del Dominio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dominio deberá definir excepciones específicas para representar violaciones de invariantes.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mínimo deberán existir excepciones para: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Strategy inválida.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EvaluationContext inválido.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StrategyEvaluation inconsistente.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EvaluationCriteria inválido.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implementaciones concretas podrán extender este conjunto sin modificar el contrato del dominio.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2gjz8mtjzp6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Arquitectura Esperada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strategy_evaluation/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├── domain/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│   ├── entities/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│   │     ├── strategy.py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│   │     └── strategy_evaluation.py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│   │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│   ├── value_objects/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│   │     ├── evaluation_context.py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│   │     └── evaluation_criteria.py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│   │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│   ├── exceptions.py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│   └── __init__.py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└── tests/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  └── unit/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        └── domain/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65rrscmo5tn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Dependencias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únicamente depende de las capas comunes del dominio.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depender de: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Application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Infrastructure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Persistence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Repository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Services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APIs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Providers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dominio deberá permanecer completamente aislado.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mw5sw2hb0ct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Criterios de Aceptación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se considerará finalizado cuando:</w:t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Existan las entidades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StrategyEvaluation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Existan los Value Objects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EvaluationContext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EvaluationCriteria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Todas las invariantes del dominio estén protegidas.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entidades no dependan de infraestructura ni de otros dominios.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Value Objects sean inmutables.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Existan pruebas unitarias para todas las entidades y objetos de valor.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Todas las pruebas unitarias sean satisfactorias.</w:t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modelo quede preparado para soportar los siguientes incrementos sin modificaciones estructurales.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n3kufb7vdd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Relación con Incrementos Posteriores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proporciona el modelo de dominio utilizado por:</w:t>
      </w:r>
    </w:p>
    <w:p w:rsidR="00000000" w:rsidDel="00000000" w:rsidP="00000000" w:rsidRDefault="00000000" w:rsidRPr="00000000" w14:paraId="0000009B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IT-027-002</w:t>
      </w:r>
      <w:r w:rsidDel="00000000" w:rsidR="00000000" w:rsidRPr="00000000">
        <w:rPr>
          <w:rtl w:val="0"/>
        </w:rPr>
        <w:t xml:space="preserve"> — Strategy Evaluation Engine MVP</w:t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IT-027-003</w:t>
      </w:r>
      <w:r w:rsidDel="00000000" w:rsidR="00000000" w:rsidRPr="00000000">
        <w:rPr>
          <w:rtl w:val="0"/>
        </w:rPr>
        <w:t xml:space="preserve"> — Strategy Evaluation Repository MVP</w:t>
      </w:r>
    </w:p>
    <w:p w:rsidR="00000000" w:rsidDel="00000000" w:rsidP="00000000" w:rsidRDefault="00000000" w:rsidRPr="00000000" w14:paraId="0000009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IT-027-004</w:t>
      </w:r>
      <w:r w:rsidDel="00000000" w:rsidR="00000000" w:rsidRPr="00000000">
        <w:rPr>
          <w:rtl w:val="0"/>
        </w:rPr>
        <w:t xml:space="preserve"> — Strategy Evaluation Access MVP</w:t>
      </w:r>
    </w:p>
    <w:p w:rsidR="00000000" w:rsidDel="00000000" w:rsidP="00000000" w:rsidRDefault="00000000" w:rsidRPr="00000000" w14:paraId="0000009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IT-027-005</w:t>
      </w:r>
      <w:r w:rsidDel="00000000" w:rsidR="00000000" w:rsidRPr="00000000">
        <w:rPr>
          <w:rtl w:val="0"/>
        </w:rPr>
        <w:t xml:space="preserve"> — Strategy Comparison MVP</w:t>
      </w:r>
    </w:p>
    <w:p w:rsidR="00000000" w:rsidDel="00000000" w:rsidP="00000000" w:rsidRDefault="00000000" w:rsidRPr="00000000" w14:paraId="0000009F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IT-027-006</w:t>
      </w:r>
      <w:r w:rsidDel="00000000" w:rsidR="00000000" w:rsidRPr="00000000">
        <w:rPr>
          <w:rtl w:val="0"/>
        </w:rPr>
        <w:t xml:space="preserve"> — Strategy Evaluation Lifecycle MVP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2vz81dzl6e2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Revisión crítica antes de darlo por terminado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Hay una mejora metodológica que considero importante incorporar a partir de este dominio.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Hasta ahora nuestros IT describen </w:t>
      </w:r>
      <w:r w:rsidDel="00000000" w:rsidR="00000000" w:rsidRPr="00000000">
        <w:rPr>
          <w:b w:val="1"/>
          <w:bCs w:val="1"/>
          <w:rtl w:val="0"/>
        </w:rPr>
        <w:t xml:space="preserve">qué implementar</w:t>
      </w:r>
      <w:r w:rsidDel="00000000" w:rsidR="00000000" w:rsidRPr="00000000">
        <w:rPr>
          <w:rtl w:val="0"/>
        </w:rPr>
        <w:t xml:space="preserve">, pero no siempre dejan explícito </w:t>
      </w:r>
      <w:r w:rsidDel="00000000" w:rsidR="00000000" w:rsidRPr="00000000">
        <w:rPr>
          <w:b w:val="1"/>
          <w:bCs w:val="1"/>
          <w:rtl w:val="0"/>
        </w:rPr>
        <w:t xml:space="preserve">qué artefactos de código constituyen la evidencia de que el incremento está terminado</w:t>
      </w:r>
      <w:r w:rsidDel="00000000" w:rsidR="00000000" w:rsidRPr="00000000">
        <w:rPr>
          <w:rtl w:val="0"/>
        </w:rPr>
        <w:t xml:space="preserve">. Propongo añadir una sección estándar en todos los IT futuros:</w:t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itbgai1ikqi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Evidencias Esperadas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sección enumeraría los entregables verificables, por ejemplo:</w:t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 de directorios creada.</w:t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Clases del dominio implementadas.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Interfaces públicas definidas (cuando aplique).</w:t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 unitarias implementadas.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Cobertura mínima requerida (si el proyecto adopta un umbral).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Verificación de calidad (linting, type checking, etc., según los estándares del proyecto).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