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DOC-032 — Portfolio Capability</w:t>
      </w:r>
    </w:p>
    <w:p w:rsidR="00000000" w:rsidDel="00000000" w:rsidP="00000000" w:rsidRDefault="00000000" w:rsidRPr="00000000" w14:paraId="00000002">
      <w:pPr>
        <w:spacing w:after="240" w:before="240" w:lineRule="auto"/>
        <w:rPr/>
      </w:pPr>
      <w:r w:rsidDel="00000000" w:rsidR="00000000" w:rsidRPr="00000000">
        <w:rPr>
          <w:rtl w:val="0"/>
        </w:rPr>
        <w:t xml:space="preserve">Recuperación arquitectónica — Ciclo 2</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1. Identificación</w:t>
      </w:r>
    </w:p>
    <w:p w:rsidR="00000000" w:rsidDel="00000000" w:rsidP="00000000" w:rsidRDefault="00000000" w:rsidRPr="00000000" w14:paraId="00000005">
      <w:pPr>
        <w:spacing w:after="240" w:before="240" w:lineRule="auto"/>
        <w:rPr/>
      </w:pPr>
      <w:r w:rsidDel="00000000" w:rsidR="00000000" w:rsidRPr="00000000">
        <w:rPr>
          <w:rtl w:val="0"/>
        </w:rPr>
        <w:t xml:space="preserve">ID: DOC-032</w:t>
      </w:r>
    </w:p>
    <w:p w:rsidR="00000000" w:rsidDel="00000000" w:rsidP="00000000" w:rsidRDefault="00000000" w:rsidRPr="00000000" w14:paraId="00000006">
      <w:pPr>
        <w:spacing w:after="240" w:before="240" w:lineRule="auto"/>
        <w:rPr/>
      </w:pPr>
      <w:r w:rsidDel="00000000" w:rsidR="00000000" w:rsidRPr="00000000">
        <w:rPr>
          <w:rtl w:val="0"/>
        </w:rPr>
        <w:t xml:space="preserve">Nombre: Portfolio Capability</w:t>
      </w:r>
    </w:p>
    <w:p w:rsidR="00000000" w:rsidDel="00000000" w:rsidP="00000000" w:rsidRDefault="00000000" w:rsidRPr="00000000" w14:paraId="00000007">
      <w:pPr>
        <w:spacing w:after="240" w:before="240" w:lineRule="auto"/>
        <w:rPr/>
      </w:pPr>
      <w:r w:rsidDel="00000000" w:rsidR="00000000" w:rsidRPr="00000000">
        <w:rPr>
          <w:rtl w:val="0"/>
        </w:rPr>
        <w:t xml:space="preserve">Versión: 1.1</w:t>
      </w:r>
    </w:p>
    <w:p w:rsidR="00000000" w:rsidDel="00000000" w:rsidP="00000000" w:rsidRDefault="00000000" w:rsidRPr="00000000" w14:paraId="00000008">
      <w:pPr>
        <w:spacing w:after="240" w:before="240" w:lineRule="auto"/>
        <w:rPr/>
      </w:pPr>
      <w:r w:rsidDel="00000000" w:rsidR="00000000" w:rsidRPr="00000000">
        <w:rPr>
          <w:rtl w:val="0"/>
        </w:rPr>
        <w:t xml:space="preserve">Estado: Draft</w:t>
      </w:r>
    </w:p>
    <w:p w:rsidR="00000000" w:rsidDel="00000000" w:rsidP="00000000" w:rsidRDefault="00000000" w:rsidRPr="00000000" w14:paraId="00000009">
      <w:pPr>
        <w:spacing w:after="240" w:before="240" w:lineRule="auto"/>
        <w:rPr/>
      </w:pPr>
      <w:r w:rsidDel="00000000" w:rsidR="00000000" w:rsidRPr="00000000">
        <w:rPr>
          <w:rtl w:val="0"/>
        </w:rPr>
        <w:t xml:space="preserve">Tipo: Arquitectura de Capability</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Autoridades normativas:</w:t>
      </w:r>
    </w:p>
    <w:p w:rsidR="00000000" w:rsidDel="00000000" w:rsidP="00000000" w:rsidRDefault="00000000" w:rsidRPr="00000000" w14:paraId="0000000C">
      <w:pPr>
        <w:spacing w:after="240" w:before="240" w:lineRule="auto"/>
        <w:rPr/>
      </w:pPr>
      <w:r w:rsidDel="00000000" w:rsidR="00000000" w:rsidRPr="00000000">
        <w:rPr>
          <w:rtl w:val="0"/>
        </w:rPr>
        <w:t xml:space="preserve">- DOC-001 — Visión, Alcance y Especificación de Ingeniería del Sistema</w:t>
      </w:r>
    </w:p>
    <w:p w:rsidR="00000000" w:rsidDel="00000000" w:rsidP="00000000" w:rsidRDefault="00000000" w:rsidRPr="00000000" w14:paraId="0000000D">
      <w:pPr>
        <w:spacing w:after="240" w:before="240" w:lineRule="auto"/>
        <w:rPr/>
      </w:pPr>
      <w:r w:rsidDel="00000000" w:rsidR="00000000" w:rsidRPr="00000000">
        <w:rPr>
          <w:rtl w:val="0"/>
        </w:rPr>
        <w:t xml:space="preserve">- DOC-002 — Constitución del Sistema</w:t>
      </w:r>
    </w:p>
    <w:p w:rsidR="00000000" w:rsidDel="00000000" w:rsidP="00000000" w:rsidRDefault="00000000" w:rsidRPr="00000000" w14:paraId="0000000E">
      <w:pPr>
        <w:spacing w:after="240" w:before="240" w:lineRule="auto"/>
        <w:rPr/>
      </w:pPr>
      <w:r w:rsidDel="00000000" w:rsidR="00000000" w:rsidRPr="00000000">
        <w:rPr>
          <w:rtl w:val="0"/>
        </w:rPr>
        <w:t xml:space="preserve">- DOC-005 — Arquitectura Conceptual del Sistema</w:t>
      </w:r>
    </w:p>
    <w:p w:rsidR="00000000" w:rsidDel="00000000" w:rsidP="00000000" w:rsidRDefault="00000000" w:rsidRPr="00000000" w14:paraId="0000000F">
      <w:pPr>
        <w:spacing w:after="240" w:before="240" w:lineRule="auto"/>
        <w:rPr/>
      </w:pPr>
      <w:r w:rsidDel="00000000" w:rsidR="00000000" w:rsidRPr="00000000">
        <w:rPr>
          <w:rtl w:val="0"/>
        </w:rPr>
        <w:t xml:space="preserve">- DOC-029 — Decision Model Capability</w:t>
      </w:r>
    </w:p>
    <w:p w:rsidR="00000000" w:rsidDel="00000000" w:rsidP="00000000" w:rsidRDefault="00000000" w:rsidRPr="00000000" w14:paraId="00000010">
      <w:pPr>
        <w:spacing w:after="240" w:before="240" w:lineRule="auto"/>
        <w:rPr/>
      </w:pPr>
      <w:r w:rsidDel="00000000" w:rsidR="00000000" w:rsidRPr="00000000">
        <w:rPr>
          <w:rtl w:val="0"/>
        </w:rPr>
        <w:t xml:space="preserve">- DOC-031 — Risk Capability v1.1</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Autoridades técnicas relevantes:</w:t>
      </w:r>
    </w:p>
    <w:p w:rsidR="00000000" w:rsidDel="00000000" w:rsidP="00000000" w:rsidRDefault="00000000" w:rsidRPr="00000000" w14:paraId="00000013">
      <w:pPr>
        <w:spacing w:after="240" w:before="240" w:lineRule="auto"/>
        <w:rPr/>
      </w:pPr>
      <w:r w:rsidDel="00000000" w:rsidR="00000000" w:rsidRPr="00000000">
        <w:rPr>
          <w:rtl w:val="0"/>
        </w:rPr>
        <w:t xml:space="preserve">- IT-029-001 — Decision Proposal Domain Model MVP v1.1</w:t>
      </w:r>
    </w:p>
    <w:p w:rsidR="00000000" w:rsidDel="00000000" w:rsidP="00000000" w:rsidRDefault="00000000" w:rsidRPr="00000000" w14:paraId="00000014">
      <w:pPr>
        <w:spacing w:after="240" w:before="240" w:lineRule="auto"/>
        <w:rPr/>
      </w:pPr>
      <w:r w:rsidDel="00000000" w:rsidR="00000000" w:rsidRPr="00000000">
        <w:rPr>
          <w:rtl w:val="0"/>
        </w:rPr>
        <w:t xml:space="preserve">- IT-029-002 — Decision Proposal Construction MVP v1.1</w:t>
      </w:r>
    </w:p>
    <w:p w:rsidR="00000000" w:rsidDel="00000000" w:rsidP="00000000" w:rsidRDefault="00000000" w:rsidRPr="00000000" w14:paraId="00000015">
      <w:pPr>
        <w:spacing w:after="240" w:before="240" w:lineRule="auto"/>
        <w:rPr/>
      </w:pPr>
      <w:r w:rsidDel="00000000" w:rsidR="00000000" w:rsidRPr="00000000">
        <w:rPr>
          <w:rtl w:val="0"/>
        </w:rPr>
        <w:t xml:space="preserve">- IT-031-001 — Risk Evaluation Result Domain Model MVP v1.1</w:t>
      </w:r>
    </w:p>
    <w:p w:rsidR="00000000" w:rsidDel="00000000" w:rsidP="00000000" w:rsidRDefault="00000000" w:rsidRPr="00000000" w14:paraId="00000016">
      <w:pPr>
        <w:spacing w:after="240" w:before="240" w:lineRule="auto"/>
        <w:rPr/>
      </w:pPr>
      <w:r w:rsidDel="00000000" w:rsidR="00000000" w:rsidRPr="00000000">
        <w:rPr>
          <w:rtl w:val="0"/>
        </w:rPr>
        <w:t xml:space="preserve">- IT-032-001 — Portfolio State Domain Model MVP</w:t>
      </w:r>
    </w:p>
    <w:p w:rsidR="00000000" w:rsidDel="00000000" w:rsidP="00000000" w:rsidRDefault="00000000" w:rsidRPr="00000000" w14:paraId="00000017">
      <w:pPr>
        <w:spacing w:after="240" w:before="240" w:lineRule="auto"/>
        <w:rPr/>
      </w:pPr>
      <w:r w:rsidDel="00000000" w:rsidR="00000000" w:rsidRPr="00000000">
        <w:rPr>
          <w:rtl w:val="0"/>
        </w:rPr>
        <w:t xml:space="preserve">- IT-032-002 — Empty Portfolio State Representation</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2. Propósito</w:t>
      </w:r>
    </w:p>
    <w:p w:rsidR="00000000" w:rsidDel="00000000" w:rsidP="00000000" w:rsidRDefault="00000000" w:rsidRPr="00000000" w14:paraId="0000001A">
      <w:pPr>
        <w:spacing w:after="240" w:before="240" w:lineRule="auto"/>
        <w:rPr/>
      </w:pPr>
      <w:r w:rsidDel="00000000" w:rsidR="00000000" w:rsidRPr="00000000">
        <w:rPr>
          <w:rtl w:val="0"/>
        </w:rPr>
        <w:t xml:space="preserve">Definir la responsabilidad arquitectónica de Portfolio: transformar un Current PortfolioState y una o más oportunidades previamente autorizadas por Risk en un Target PortfolioState que expresa la composición económica objetivo.</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Portfolio posee allocation, selección/combinación de oportunidades y composición final. Risk conserva aceptabilidad, sizing y límites. Decision Model conserva qué se propone. Execution conserva materialización operacional.</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3. Posición arquitectónica</w:t>
      </w:r>
    </w:p>
    <w:p w:rsidR="00000000" w:rsidDel="00000000" w:rsidP="00000000" w:rsidRDefault="00000000" w:rsidRPr="00000000" w14:paraId="0000001F">
      <w:pPr>
        <w:spacing w:after="240" w:before="240" w:lineRule="auto"/>
        <w:rPr/>
      </w:pPr>
      <w:r w:rsidDel="00000000" w:rsidR="00000000" w:rsidRPr="00000000">
        <w:rPr>
          <w:rtl w:val="0"/>
        </w:rPr>
        <w:t xml:space="preserve">El flujo normativo es: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Decision Model</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DecisionProposal</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Risk</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RiskEvaluationResult + RiskConstraint*</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Portfolio</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Target PortfolioState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Execution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No existe una Capability Portfolio Transition obligatoria entre Portfolio y Execution.</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4. Ownership de Portfolio</w:t>
      </w:r>
    </w:p>
    <w:p w:rsidR="00000000" w:rsidDel="00000000" w:rsidP="00000000" w:rsidRDefault="00000000" w:rsidRPr="00000000" w14:paraId="0000002C">
      <w:pPr>
        <w:spacing w:after="240" w:before="240" w:lineRule="auto"/>
        <w:rPr/>
      </w:pPr>
      <w:r w:rsidDel="00000000" w:rsidR="00000000" w:rsidRPr="00000000">
        <w:rPr>
          <w:rtl w:val="0"/>
        </w:rPr>
        <w:t xml:space="preserve">Portfolio es el único owner de:</w:t>
      </w:r>
    </w:p>
    <w:p w:rsidR="00000000" w:rsidDel="00000000" w:rsidP="00000000" w:rsidRDefault="00000000" w:rsidRPr="00000000" w14:paraId="0000002D">
      <w:pPr>
        <w:spacing w:after="240" w:before="240" w:lineRule="auto"/>
        <w:rPr/>
      </w:pPr>
      <w:r w:rsidDel="00000000" w:rsidR="00000000" w:rsidRPr="00000000">
        <w:rPr>
          <w:rtl w:val="0"/>
        </w:rPr>
        <w:t xml:space="preserve">- consumir el Current PortfolioState;</w:t>
      </w:r>
    </w:p>
    <w:p w:rsidR="00000000" w:rsidDel="00000000" w:rsidP="00000000" w:rsidRDefault="00000000" w:rsidRPr="00000000" w14:paraId="0000002E">
      <w:pPr>
        <w:spacing w:after="240" w:before="240" w:lineRule="auto"/>
        <w:rPr/>
      </w:pPr>
      <w:r w:rsidDel="00000000" w:rsidR="00000000" w:rsidRPr="00000000">
        <w:rPr>
          <w:rtl w:val="0"/>
        </w:rPr>
        <w:t xml:space="preserve">- considerar 1..N RiskEvaluationResult autorizados;</w:t>
      </w:r>
    </w:p>
    <w:p w:rsidR="00000000" w:rsidDel="00000000" w:rsidP="00000000" w:rsidRDefault="00000000" w:rsidRPr="00000000" w14:paraId="0000002F">
      <w:pPr>
        <w:spacing w:after="240" w:before="240" w:lineRule="auto"/>
        <w:rPr/>
      </w:pPr>
      <w:r w:rsidDel="00000000" w:rsidR="00000000" w:rsidRPr="00000000">
        <w:rPr>
          <w:rtl w:val="0"/>
        </w:rPr>
        <w:t xml:space="preserve">- seleccionar qué oportunidades autorizadas contribuyen al target;</w:t>
      </w:r>
    </w:p>
    <w:p w:rsidR="00000000" w:rsidDel="00000000" w:rsidP="00000000" w:rsidRDefault="00000000" w:rsidRPr="00000000" w14:paraId="00000030">
      <w:pPr>
        <w:spacing w:after="240" w:before="240" w:lineRule="auto"/>
        <w:rPr/>
      </w:pPr>
      <w:r w:rsidDel="00000000" w:rsidR="00000000" w:rsidRPr="00000000">
        <w:rPr>
          <w:rtl w:val="0"/>
        </w:rPr>
        <w:t xml:space="preserve">- asignar capital y exposición entre ellas;</w:t>
      </w:r>
    </w:p>
    <w:p w:rsidR="00000000" w:rsidDel="00000000" w:rsidP="00000000" w:rsidRDefault="00000000" w:rsidRPr="00000000" w14:paraId="00000031">
      <w:pPr>
        <w:spacing w:after="240" w:before="240" w:lineRule="auto"/>
        <w:rPr/>
      </w:pPr>
      <w:r w:rsidDel="00000000" w:rsidR="00000000" w:rsidRPr="00000000">
        <w:rPr>
          <w:rtl w:val="0"/>
        </w:rPr>
        <w:t xml:space="preserve">- determinar cantidades objetivo por InstrumentReference;</w:t>
      </w:r>
    </w:p>
    <w:p w:rsidR="00000000" w:rsidDel="00000000" w:rsidP="00000000" w:rsidRDefault="00000000" w:rsidRPr="00000000" w14:paraId="00000032">
      <w:pPr>
        <w:spacing w:after="240" w:before="240" w:lineRule="auto"/>
        <w:rPr/>
      </w:pPr>
      <w:r w:rsidDel="00000000" w:rsidR="00000000" w:rsidRPr="00000000">
        <w:rPr>
          <w:rtl w:val="0"/>
        </w:rPr>
        <w:t xml:space="preserve">- determinar balances monetarios objetivo por CurrencyReference;</w:t>
      </w:r>
    </w:p>
    <w:p w:rsidR="00000000" w:rsidDel="00000000" w:rsidP="00000000" w:rsidRDefault="00000000" w:rsidRPr="00000000" w14:paraId="00000033">
      <w:pPr>
        <w:spacing w:after="240" w:before="240" w:lineRule="auto"/>
        <w:rPr/>
      </w:pPr>
      <w:r w:rsidDel="00000000" w:rsidR="00000000" w:rsidRPr="00000000">
        <w:rPr>
          <w:rtl w:val="0"/>
        </w:rPr>
        <w:t xml:space="preserve">- producir exactamente un nuevo PortfolioState como target;</w:t>
      </w:r>
    </w:p>
    <w:p w:rsidR="00000000" w:rsidDel="00000000" w:rsidP="00000000" w:rsidRDefault="00000000" w:rsidRPr="00000000" w14:paraId="00000034">
      <w:pPr>
        <w:spacing w:after="240" w:before="240" w:lineRule="auto"/>
        <w:rPr/>
      </w:pPr>
      <w:r w:rsidDel="00000000" w:rsidR="00000000" w:rsidRPr="00000000">
        <w:rPr>
          <w:rtl w:val="0"/>
        </w:rPr>
        <w:t xml:space="preserve">- preservar la procedencia de la determinación.</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Portfolio no posee:</w:t>
      </w:r>
    </w:p>
    <w:p w:rsidR="00000000" w:rsidDel="00000000" w:rsidP="00000000" w:rsidRDefault="00000000" w:rsidRPr="00000000" w14:paraId="00000037">
      <w:pPr>
        <w:spacing w:after="240" w:before="240" w:lineRule="auto"/>
        <w:rPr/>
      </w:pPr>
      <w:r w:rsidDel="00000000" w:rsidR="00000000" w:rsidRPr="00000000">
        <w:rPr>
          <w:rtl w:val="0"/>
        </w:rPr>
        <w:t xml:space="preserve">- formulación de DecisionProposal;</w:t>
      </w:r>
    </w:p>
    <w:p w:rsidR="00000000" w:rsidDel="00000000" w:rsidP="00000000" w:rsidRDefault="00000000" w:rsidRPr="00000000" w14:paraId="00000038">
      <w:pPr>
        <w:spacing w:after="240" w:before="240" w:lineRule="auto"/>
        <w:rPr/>
      </w:pPr>
      <w:r w:rsidDel="00000000" w:rsidR="00000000" w:rsidRPr="00000000">
        <w:rPr>
          <w:rtl w:val="0"/>
        </w:rPr>
        <w:t xml:space="preserve">- aceptación/rechazo de Risk;</w:t>
      </w:r>
    </w:p>
    <w:p w:rsidR="00000000" w:rsidDel="00000000" w:rsidP="00000000" w:rsidRDefault="00000000" w:rsidRPr="00000000" w14:paraId="00000039">
      <w:pPr>
        <w:spacing w:after="240" w:before="240" w:lineRule="auto"/>
        <w:rPr/>
      </w:pPr>
      <w:r w:rsidDel="00000000" w:rsidR="00000000" w:rsidRPr="00000000">
        <w:rPr>
          <w:rtl w:val="0"/>
        </w:rPr>
        <w:t xml:space="preserve">- sizing o límites de Risk;</w:t>
      </w:r>
    </w:p>
    <w:p w:rsidR="00000000" w:rsidDel="00000000" w:rsidP="00000000" w:rsidRDefault="00000000" w:rsidRPr="00000000" w14:paraId="0000003A">
      <w:pPr>
        <w:spacing w:after="240" w:before="240" w:lineRule="auto"/>
        <w:rPr/>
      </w:pPr>
      <w:r w:rsidDel="00000000" w:rsidR="00000000" w:rsidRPr="00000000">
        <w:rPr>
          <w:rtl w:val="0"/>
        </w:rPr>
        <w:t xml:space="preserve">- órdenes, routing, brokers o ejecución;</w:t>
      </w:r>
    </w:p>
    <w:p w:rsidR="00000000" w:rsidDel="00000000" w:rsidP="00000000" w:rsidRDefault="00000000" w:rsidRPr="00000000" w14:paraId="0000003B">
      <w:pPr>
        <w:spacing w:after="240" w:before="240" w:lineRule="auto"/>
        <w:rPr/>
      </w:pPr>
      <w:r w:rsidDel="00000000" w:rsidR="00000000" w:rsidRPr="00000000">
        <w:rPr>
          <w:rtl w:val="0"/>
        </w:rPr>
        <w:t xml:space="preserve">- reconciliación.</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5. Frontera Risk ↔ Portfolio</w:t>
      </w:r>
    </w:p>
    <w:p w:rsidR="00000000" w:rsidDel="00000000" w:rsidP="00000000" w:rsidRDefault="00000000" w:rsidRPr="00000000" w14:paraId="0000003E">
      <w:pPr>
        <w:spacing w:after="240" w:before="240" w:lineRule="auto"/>
        <w:rPr/>
      </w:pPr>
      <w:r w:rsidDel="00000000" w:rsidR="00000000" w:rsidRPr="00000000">
        <w:rPr>
          <w:rtl w:val="0"/>
        </w:rPr>
        <w:t xml:space="preserve">Risk responde:</w:t>
      </w:r>
    </w:p>
    <w:p w:rsidR="00000000" w:rsidDel="00000000" w:rsidP="00000000" w:rsidRDefault="00000000" w:rsidRPr="00000000" w14:paraId="0000003F">
      <w:pPr>
        <w:spacing w:after="240" w:before="240" w:lineRule="auto"/>
        <w:rPr/>
      </w:pPr>
      <w:r w:rsidDel="00000000" w:rsidR="00000000" w:rsidRPr="00000000">
        <w:rPr>
          <w:rtl w:val="0"/>
        </w:rPr>
        <w:t xml:space="preserve">“¿Qué exposición es permisible y bajo qué restricciones?”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Portfolio responde:</w:t>
      </w:r>
    </w:p>
    <w:p w:rsidR="00000000" w:rsidDel="00000000" w:rsidP="00000000" w:rsidRDefault="00000000" w:rsidRPr="00000000" w14:paraId="00000042">
      <w:pPr>
        <w:spacing w:after="240" w:before="240" w:lineRule="auto"/>
        <w:rPr/>
      </w:pPr>
      <w:r w:rsidDel="00000000" w:rsidR="00000000" w:rsidRPr="00000000">
        <w:rPr>
          <w:rtl w:val="0"/>
        </w:rPr>
        <w:t xml:space="preserve">“¿Qué composición concreta elijo dentro de ese espacio permitido?”</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Portfolio puede asignar menos que un máximo autorizado por Risk, pero nunca puede ampliar un límite, ignorar una restricción ni rehabilitar un resultado REJECTED.</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RiskConstraint representa límites máximos normativos. MAX_EXECUTION_SIZE se preserva downstream y no se convierte en una decisión de composición. Las restricciones de capital, exposición o sizing que sean aplicables a Portfolio deben ser respetadas por la autoridad de determinación. Si una restricción no puede interpretarse inequívocamente con los contratos y la autoridad disponibles, Target Determination falla; Portfolio no adivina unidades, contexto ni significado.</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6. Frontera Decision Model ↔ Portfolio</w:t>
      </w:r>
    </w:p>
    <w:p w:rsidR="00000000" w:rsidDel="00000000" w:rsidP="00000000" w:rsidRDefault="00000000" w:rsidRPr="00000000" w14:paraId="00000049">
      <w:pPr>
        <w:spacing w:after="240" w:before="240" w:lineRule="auto"/>
        <w:rPr/>
      </w:pPr>
      <w:r w:rsidDel="00000000" w:rsidR="00000000" w:rsidRPr="00000000">
        <w:rPr>
          <w:rtl w:val="0"/>
        </w:rPr>
        <w:t xml:space="preserve">DecisionProposal v1.1 publica una EconomicProposition estructurada:</w:t>
      </w:r>
    </w:p>
    <w:p w:rsidR="00000000" w:rsidDel="00000000" w:rsidP="00000000" w:rsidRDefault="00000000" w:rsidRPr="00000000" w14:paraId="0000004A">
      <w:pPr>
        <w:spacing w:after="240" w:before="240" w:lineRule="auto"/>
        <w:rPr/>
      </w:pPr>
      <w:r w:rsidDel="00000000" w:rsidR="00000000" w:rsidRPr="00000000">
        <w:rPr>
          <w:rtl w:val="0"/>
        </w:rPr>
        <w:t xml:space="preserve">- InstrumentReference;</w:t>
      </w:r>
    </w:p>
    <w:p w:rsidR="00000000" w:rsidDel="00000000" w:rsidP="00000000" w:rsidRDefault="00000000" w:rsidRPr="00000000" w14:paraId="0000004B">
      <w:pPr>
        <w:spacing w:after="240" w:before="240" w:lineRule="auto"/>
        <w:rPr/>
      </w:pPr>
      <w:r w:rsidDel="00000000" w:rsidR="00000000" w:rsidRPr="00000000">
        <w:rPr>
          <w:rtl w:val="0"/>
        </w:rPr>
        <w:t xml:space="preserve">- ExposureOrientation POSITIVE, NEGATIVE o FLAT.</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Por tanto, el bloqueo upstream previamente identificado queda resuelto.</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Portfolio no interpreta texto libre ni reabre evidencia de Strategy Evaluation.</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La orientación económica expresa significado objetivo, no orden:</w:t>
      </w:r>
    </w:p>
    <w:p w:rsidR="00000000" w:rsidDel="00000000" w:rsidP="00000000" w:rsidRDefault="00000000" w:rsidRPr="00000000" w14:paraId="00000052">
      <w:pPr>
        <w:spacing w:after="240" w:before="240" w:lineRule="auto"/>
        <w:rPr/>
      </w:pPr>
      <w:r w:rsidDel="00000000" w:rsidR="00000000" w:rsidRPr="00000000">
        <w:rPr>
          <w:rtl w:val="0"/>
        </w:rPr>
        <w:t xml:space="preserve">- POSITIVE exige que una oportunidad contribuyente no produzca exposición objetivo negativa;</w:t>
      </w:r>
    </w:p>
    <w:p w:rsidR="00000000" w:rsidDel="00000000" w:rsidP="00000000" w:rsidRDefault="00000000" w:rsidRPr="00000000" w14:paraId="00000053">
      <w:pPr>
        <w:spacing w:after="240" w:before="240" w:lineRule="auto"/>
        <w:rPr/>
      </w:pPr>
      <w:r w:rsidDel="00000000" w:rsidR="00000000" w:rsidRPr="00000000">
        <w:rPr>
          <w:rtl w:val="0"/>
        </w:rPr>
        <w:t xml:space="preserve">- NEGATIVE exige que una oportunidad contribuyente no produzca exposición objetivo positiva;</w:t>
      </w:r>
    </w:p>
    <w:p w:rsidR="00000000" w:rsidDel="00000000" w:rsidP="00000000" w:rsidRDefault="00000000" w:rsidRPr="00000000" w14:paraId="00000054">
      <w:pPr>
        <w:spacing w:after="240" w:before="240" w:lineRule="auto"/>
        <w:rPr/>
      </w:pPr>
      <w:r w:rsidDel="00000000" w:rsidR="00000000" w:rsidRPr="00000000">
        <w:rPr>
          <w:rtl w:val="0"/>
        </w:rPr>
        <w:t xml:space="preserve">- FLAT exige ausencia de posición material objetivo para ese instrumento.</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Estas reglas no determinan magnitud.</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7. Current PortfolioState</w:t>
      </w:r>
    </w:p>
    <w:p w:rsidR="00000000" w:rsidDel="00000000" w:rsidP="00000000" w:rsidRDefault="00000000" w:rsidRPr="00000000" w14:paraId="00000059">
      <w:pPr>
        <w:spacing w:after="240" w:before="240" w:lineRule="auto"/>
        <w:rPr/>
      </w:pPr>
      <w:r w:rsidDel="00000000" w:rsidR="00000000" w:rsidRPr="00000000">
        <w:rPr>
          <w:rtl w:val="0"/>
        </w:rPr>
        <w:t xml:space="preserve">Portfolio consume exactamente un PortfolioState válido como estado actual.</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El estado puede ser económicamente vacío conforme a IT-032-002.</w:t>
      </w:r>
    </w:p>
    <w:p w:rsidR="00000000" w:rsidDel="00000000" w:rsidP="00000000" w:rsidRDefault="00000000" w:rsidRPr="00000000" w14:paraId="0000005C">
      <w:pPr>
        <w:spacing w:after="240" w:before="240" w:lineRule="auto"/>
        <w:rPr/>
      </w:pPr>
      <w:r w:rsidDel="00000000" w:rsidR="00000000" w:rsidRPr="00000000">
        <w:rPr>
          <w:rtl w:val="0"/>
        </w:rPr>
        <w:t xml:space="preserve">Portfolio no modifica la instancia recibida.</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8. Oportunidades consideradas y contribuyentes</w:t>
      </w:r>
    </w:p>
    <w:p w:rsidR="00000000" w:rsidDel="00000000" w:rsidP="00000000" w:rsidRDefault="00000000" w:rsidRPr="00000000" w14:paraId="0000005F">
      <w:pPr>
        <w:spacing w:after="240" w:before="240" w:lineRule="auto"/>
        <w:rPr/>
      </w:pPr>
      <w:r w:rsidDel="00000000" w:rsidR="00000000" w:rsidRPr="00000000">
        <w:rPr>
          <w:rtl w:val="0"/>
        </w:rPr>
        <w:t xml:space="preserve">Target Determination recibe una colección finita y no vacía de RiskEvaluationResult candidatos.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Todo resultado candidato debe:</w:t>
      </w:r>
    </w:p>
    <w:p w:rsidR="00000000" w:rsidDel="00000000" w:rsidP="00000000" w:rsidRDefault="00000000" w:rsidRPr="00000000" w14:paraId="00000062">
      <w:pPr>
        <w:spacing w:after="240" w:before="240" w:lineRule="auto"/>
        <w:rPr/>
      </w:pPr>
      <w:r w:rsidDel="00000000" w:rsidR="00000000" w:rsidRPr="00000000">
        <w:rPr>
          <w:rtl w:val="0"/>
        </w:rPr>
        <w:t xml:space="preserve">- corresponder a exactamente una DecisionProposal;</w:t>
      </w:r>
    </w:p>
    <w:p w:rsidR="00000000" w:rsidDel="00000000" w:rsidP="00000000" w:rsidRDefault="00000000" w:rsidRPr="00000000" w14:paraId="00000063">
      <w:pPr>
        <w:spacing w:after="240" w:before="240" w:lineRule="auto"/>
        <w:rPr/>
      </w:pPr>
      <w:r w:rsidDel="00000000" w:rsidR="00000000" w:rsidRPr="00000000">
        <w:rPr>
          <w:rtl w:val="0"/>
        </w:rPr>
        <w:t xml:space="preserve">- tener outcome ACCEPTED o CONDITIONALLY_ACCEPTED;</w:t>
      </w:r>
    </w:p>
    <w:p w:rsidR="00000000" w:rsidDel="00000000" w:rsidP="00000000" w:rsidRDefault="00000000" w:rsidRPr="00000000" w14:paraId="00000064">
      <w:pPr>
        <w:spacing w:after="240" w:before="240" w:lineRule="auto"/>
        <w:rPr/>
      </w:pPr>
      <w:r w:rsidDel="00000000" w:rsidR="00000000" w:rsidRPr="00000000">
        <w:rPr>
          <w:rtl w:val="0"/>
        </w:rPr>
        <w:t xml:space="preserve">- preservar sus RiskConstraint y context_references.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La autoridad de Portfolio puede seleccionar cero o más resultados candidatos como contribuyentes. Esta selección pertenece a Portfolio, no al caller ni a Risk.</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Para evitar ambigüedad en este incremento, como máximo una DecisionProposal contribuyente por InstrumentReference puede determinar la orientación objetivo de un instrumento. Una combinación que requiera resolver propuestas contribuyentes incompatibles sobre el mismo instrumento queda fuera del MVP y debe fallar de forma explícita.</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9. Autoridad de Portfolio Target Determination</w:t>
      </w:r>
    </w:p>
    <w:p w:rsidR="00000000" w:rsidDel="00000000" w:rsidP="00000000" w:rsidRDefault="00000000" w:rsidRPr="00000000" w14:paraId="0000006B">
      <w:pPr>
        <w:spacing w:after="240" w:before="240" w:lineRule="auto"/>
        <w:rPr/>
      </w:pPr>
      <w:r w:rsidDel="00000000" w:rsidR="00000000" w:rsidRPr="00000000">
        <w:rPr>
          <w:rtl w:val="0"/>
        </w:rPr>
        <w:t xml:space="preserve">La arquitectura no puede producir cantidades y balances exactos únicamente desde EconomicProposition + RiskConstraint: Risk fija límites, no magnitudes finales.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Por tanto, Target Determination requiere una autoridad explícita propiedad de Portfolio.</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La autoridad de Portfolio Target Determination:</w:t>
      </w:r>
    </w:p>
    <w:p w:rsidR="00000000" w:rsidDel="00000000" w:rsidP="00000000" w:rsidRDefault="00000000" w:rsidRPr="00000000" w14:paraId="00000070">
      <w:pPr>
        <w:spacing w:after="240" w:before="240" w:lineRule="auto"/>
        <w:rPr/>
      </w:pPr>
      <w:r w:rsidDel="00000000" w:rsidR="00000000" w:rsidRPr="00000000">
        <w:rPr>
          <w:rtl w:val="0"/>
        </w:rPr>
        <w:t xml:space="preserve">- recibe exclusivamente contratos públicos autorizados;</w:t>
      </w:r>
    </w:p>
    <w:p w:rsidR="00000000" w:rsidDel="00000000" w:rsidP="00000000" w:rsidRDefault="00000000" w:rsidRPr="00000000" w14:paraId="00000071">
      <w:pPr>
        <w:spacing w:after="240" w:before="240" w:lineRule="auto"/>
        <w:rPr/>
      </w:pPr>
      <w:r w:rsidDel="00000000" w:rsidR="00000000" w:rsidRPr="00000000">
        <w:rPr>
          <w:rtl w:val="0"/>
        </w:rPr>
        <w:t xml:space="preserve">- posee una basis_reference pública, no vacía y trazable;</w:t>
      </w:r>
    </w:p>
    <w:p w:rsidR="00000000" w:rsidDel="00000000" w:rsidP="00000000" w:rsidRDefault="00000000" w:rsidRPr="00000000" w14:paraId="00000072">
      <w:pPr>
        <w:spacing w:after="240" w:before="240" w:lineRule="auto"/>
        <w:rPr/>
      </w:pPr>
      <w:r w:rsidDel="00000000" w:rsidR="00000000" w:rsidRPr="00000000">
        <w:rPr>
          <w:rtl w:val="0"/>
        </w:rPr>
        <w:t xml:space="preserve">- selecciona las oportunidades contribuyentes;</w:t>
      </w:r>
    </w:p>
    <w:p w:rsidR="00000000" w:rsidDel="00000000" w:rsidP="00000000" w:rsidRDefault="00000000" w:rsidRPr="00000000" w14:paraId="00000073">
      <w:pPr>
        <w:spacing w:after="240" w:before="240" w:lineRule="auto"/>
        <w:rPr/>
      </w:pPr>
      <w:r w:rsidDel="00000000" w:rsidR="00000000" w:rsidRPr="00000000">
        <w:rPr>
          <w:rtl w:val="0"/>
        </w:rPr>
        <w:t xml:space="preserve">- determina la composición económica objetivo;</w:t>
      </w:r>
    </w:p>
    <w:p w:rsidR="00000000" w:rsidDel="00000000" w:rsidP="00000000" w:rsidRDefault="00000000" w:rsidRPr="00000000" w14:paraId="00000074">
      <w:pPr>
        <w:spacing w:after="240" w:before="240" w:lineRule="auto"/>
        <w:rPr/>
      </w:pPr>
      <w:r w:rsidDel="00000000" w:rsidR="00000000" w:rsidRPr="00000000">
        <w:rPr>
          <w:rtl w:val="0"/>
        </w:rPr>
        <w:t xml:space="preserve">- respeta todas las RiskConstraint aplicables;</w:t>
      </w:r>
    </w:p>
    <w:p w:rsidR="00000000" w:rsidDel="00000000" w:rsidP="00000000" w:rsidRDefault="00000000" w:rsidRPr="00000000" w14:paraId="00000075">
      <w:pPr>
        <w:spacing w:after="240" w:before="240" w:lineRule="auto"/>
        <w:rPr/>
      </w:pPr>
      <w:r w:rsidDel="00000000" w:rsidR="00000000" w:rsidRPr="00000000">
        <w:rPr>
          <w:rtl w:val="0"/>
        </w:rPr>
        <w:t xml:space="preserve">- falla cuando no puede interpretar o cumplir una restricción;</w:t>
      </w:r>
    </w:p>
    <w:p w:rsidR="00000000" w:rsidDel="00000000" w:rsidP="00000000" w:rsidRDefault="00000000" w:rsidRPr="00000000" w14:paraId="00000076">
      <w:pPr>
        <w:spacing w:after="240" w:before="240" w:lineRule="auto"/>
        <w:rPr/>
      </w:pPr>
      <w:r w:rsidDel="00000000" w:rsidR="00000000" w:rsidRPr="00000000">
        <w:rPr>
          <w:rtl w:val="0"/>
        </w:rPr>
        <w:t xml:space="preserve">- es responsable de reproducibilidad bajo la misma autoridad/configuración e inputs;</w:t>
      </w:r>
    </w:p>
    <w:p w:rsidR="00000000" w:rsidDel="00000000" w:rsidP="00000000" w:rsidRDefault="00000000" w:rsidRPr="00000000" w14:paraId="00000077">
      <w:pPr>
        <w:spacing w:after="240" w:before="240" w:lineRule="auto"/>
        <w:rPr/>
      </w:pPr>
      <w:r w:rsidDel="00000000" w:rsidR="00000000" w:rsidRPr="00000000">
        <w:rPr>
          <w:rtl w:val="0"/>
        </w:rPr>
        <w:t xml:space="preserve">- no crea órdenes ni decisiones de Execution.</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La autoridad es una frontera de estrategia/política interna de Portfolio, no una nueva Capability. Distintas implementaciones de allocation pueden cumplir exactamente este contrato.</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Este documento no prescribe protocolo, clase, callable, algoritmo, optimizador, fórmula, solver ni representación interna de la autoridad.</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10. Contrato arquitectónico de Target Determination</w:t>
      </w:r>
    </w:p>
    <w:p w:rsidR="00000000" w:rsidDel="00000000" w:rsidP="00000000" w:rsidRDefault="00000000" w:rsidRPr="00000000" w14:paraId="0000007E">
      <w:pPr>
        <w:spacing w:after="240" w:before="240" w:lineRule="auto"/>
        <w:rPr/>
      </w:pPr>
      <w:r w:rsidDel="00000000" w:rsidR="00000000" w:rsidRPr="00000000">
        <w:rPr>
          <w:rtl w:val="0"/>
        </w:rPr>
        <w:t xml:space="preserve">Semánticamente: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Current PortfolioState</w:t>
      </w:r>
    </w:p>
    <w:p w:rsidR="00000000" w:rsidDel="00000000" w:rsidP="00000000" w:rsidRDefault="00000000" w:rsidRPr="00000000" w14:paraId="00000081">
      <w:pPr>
        <w:spacing w:after="240" w:before="240" w:lineRule="auto"/>
        <w:rPr/>
      </w:pP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1..N RiskEvaluationResult autorizados</w:t>
      </w:r>
    </w:p>
    <w:p w:rsidR="00000000" w:rsidDel="00000000" w:rsidP="00000000" w:rsidRDefault="00000000" w:rsidRPr="00000000" w14:paraId="00000083">
      <w:pPr>
        <w:spacing w:after="240" w:before="240" w:lineRule="auto"/>
        <w:rPr/>
      </w:pP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Portfolio Target Determination Authority</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Target PortfolioState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La acción pública de Target Determination debe:</w:t>
      </w:r>
    </w:p>
    <w:p w:rsidR="00000000" w:rsidDel="00000000" w:rsidP="00000000" w:rsidRDefault="00000000" w:rsidRPr="00000000" w14:paraId="00000089">
      <w:pPr>
        <w:spacing w:after="240" w:before="240" w:lineRule="auto"/>
        <w:rPr/>
      </w:pPr>
      <w:r w:rsidDel="00000000" w:rsidR="00000000" w:rsidRPr="00000000">
        <w:rPr>
          <w:rtl w:val="0"/>
        </w:rPr>
        <w:t xml:space="preserve">- validar sus contratos de entrada;</w:t>
      </w:r>
    </w:p>
    <w:p w:rsidR="00000000" w:rsidDel="00000000" w:rsidP="00000000" w:rsidRDefault="00000000" w:rsidRPr="00000000" w14:paraId="0000008A">
      <w:pPr>
        <w:spacing w:after="240" w:before="240" w:lineRule="auto"/>
        <w:rPr/>
      </w:pPr>
      <w:r w:rsidDel="00000000" w:rsidR="00000000" w:rsidRPr="00000000">
        <w:rPr>
          <w:rtl w:val="0"/>
        </w:rPr>
        <w:t xml:space="preserve">- impedir resultados REJECTED;</w:t>
      </w:r>
    </w:p>
    <w:p w:rsidR="00000000" w:rsidDel="00000000" w:rsidP="00000000" w:rsidRDefault="00000000" w:rsidRPr="00000000" w14:paraId="0000008B">
      <w:pPr>
        <w:spacing w:after="240" w:before="240" w:lineRule="auto"/>
        <w:rPr/>
      </w:pPr>
      <w:r w:rsidDel="00000000" w:rsidR="00000000" w:rsidRPr="00000000">
        <w:rPr>
          <w:rtl w:val="0"/>
        </w:rPr>
        <w:t xml:space="preserve">- invocar únicamente una autoridad válida de Portfolio;</w:t>
      </w:r>
    </w:p>
    <w:p w:rsidR="00000000" w:rsidDel="00000000" w:rsidP="00000000" w:rsidRDefault="00000000" w:rsidRPr="00000000" w14:paraId="0000008C">
      <w:pPr>
        <w:spacing w:after="240" w:before="240" w:lineRule="auto"/>
        <w:rPr/>
      </w:pPr>
      <w:r w:rsidDel="00000000" w:rsidR="00000000" w:rsidRPr="00000000">
        <w:rPr>
          <w:rtl w:val="0"/>
        </w:rPr>
        <w:t xml:space="preserve">- publicar exactamente un nuevo PortfolioState;</w:t>
      </w:r>
    </w:p>
    <w:p w:rsidR="00000000" w:rsidDel="00000000" w:rsidP="00000000" w:rsidRDefault="00000000" w:rsidRPr="00000000" w14:paraId="0000008D">
      <w:pPr>
        <w:spacing w:after="240" w:before="240" w:lineRule="auto"/>
        <w:rPr/>
      </w:pPr>
      <w:r w:rsidDel="00000000" w:rsidR="00000000" w:rsidRPr="00000000">
        <w:rPr>
          <w:rtl w:val="0"/>
        </w:rPr>
        <w:t xml:space="preserve">- preservar el Current PortfolioState;</w:t>
      </w:r>
    </w:p>
    <w:p w:rsidR="00000000" w:rsidDel="00000000" w:rsidP="00000000" w:rsidRDefault="00000000" w:rsidRPr="00000000" w14:paraId="0000008E">
      <w:pPr>
        <w:spacing w:after="240" w:before="240" w:lineRule="auto"/>
        <w:rPr/>
      </w:pPr>
      <w:r w:rsidDel="00000000" w:rsidR="00000000" w:rsidRPr="00000000">
        <w:rPr>
          <w:rtl w:val="0"/>
        </w:rPr>
        <w:t xml:space="preserve">- preservar los RiskEvaluationResult considerados;</w:t>
      </w:r>
    </w:p>
    <w:p w:rsidR="00000000" w:rsidDel="00000000" w:rsidP="00000000" w:rsidRDefault="00000000" w:rsidRPr="00000000" w14:paraId="0000008F">
      <w:pPr>
        <w:spacing w:after="240" w:before="240" w:lineRule="auto"/>
        <w:rPr/>
      </w:pPr>
      <w:r w:rsidDel="00000000" w:rsidR="00000000" w:rsidRPr="00000000">
        <w:rPr>
          <w:rtl w:val="0"/>
        </w:rPr>
        <w:t xml:space="preserve">- preservar cuáles resultados fueron contribuyentes;</w:t>
      </w:r>
    </w:p>
    <w:p w:rsidR="00000000" w:rsidDel="00000000" w:rsidP="00000000" w:rsidRDefault="00000000" w:rsidRPr="00000000" w14:paraId="00000090">
      <w:pPr>
        <w:spacing w:after="240" w:before="240" w:lineRule="auto"/>
        <w:rPr/>
      </w:pPr>
      <w:r w:rsidDel="00000000" w:rsidR="00000000" w:rsidRPr="00000000">
        <w:rPr>
          <w:rtl w:val="0"/>
        </w:rPr>
        <w:t xml:space="preserve">- preservar basis_reference de la autoridad;</w:t>
      </w:r>
    </w:p>
    <w:p w:rsidR="00000000" w:rsidDel="00000000" w:rsidP="00000000" w:rsidRDefault="00000000" w:rsidRPr="00000000" w14:paraId="00000091">
      <w:pPr>
        <w:spacing w:after="240" w:before="240" w:lineRule="auto"/>
        <w:rPr/>
      </w:pPr>
      <w:r w:rsidDel="00000000" w:rsidR="00000000" w:rsidRPr="00000000">
        <w:rPr>
          <w:rtl w:val="0"/>
        </w:rPr>
        <w:t xml:space="preserve">- verificar las invariantes públicas que puedan observarse sin reejecutar el algoritmo de allocation;</w:t>
      </w:r>
    </w:p>
    <w:p w:rsidR="00000000" w:rsidDel="00000000" w:rsidP="00000000" w:rsidRDefault="00000000" w:rsidRPr="00000000" w14:paraId="00000092">
      <w:pPr>
        <w:spacing w:after="240" w:before="240" w:lineRule="auto"/>
        <w:rPr/>
      </w:pPr>
      <w:r w:rsidDel="00000000" w:rsidR="00000000" w:rsidRPr="00000000">
        <w:rPr>
          <w:rtl w:val="0"/>
        </w:rPr>
        <w:t xml:space="preserve">- fallar sin publicar un target parcial cuando exista incompatibilidad.</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11. Target PortfolioState</w:t>
      </w:r>
    </w:p>
    <w:p w:rsidR="00000000" w:rsidDel="00000000" w:rsidP="00000000" w:rsidRDefault="00000000" w:rsidRPr="00000000" w14:paraId="00000095">
      <w:pPr>
        <w:spacing w:after="240" w:before="240" w:lineRule="auto"/>
        <w:rPr/>
      </w:pPr>
      <w:r w:rsidDel="00000000" w:rsidR="00000000" w:rsidRPr="00000000">
        <w:rPr>
          <w:rtl w:val="0"/>
        </w:rPr>
        <w:t xml:space="preserve">El resultado continúa siendo PortfolioState. No se crea TargetPortfolioState como tipo paralelo.</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Su identidad económica continúa dependiendo exclusivamente de:</w:t>
      </w:r>
    </w:p>
    <w:p w:rsidR="00000000" w:rsidDel="00000000" w:rsidP="00000000" w:rsidRDefault="00000000" w:rsidRPr="00000000" w14:paraId="00000098">
      <w:pPr>
        <w:spacing w:after="240" w:before="240" w:lineRule="auto"/>
        <w:rPr/>
      </w:pPr>
      <w:r w:rsidDel="00000000" w:rsidR="00000000" w:rsidRPr="00000000">
        <w:rPr>
          <w:rtl w:val="0"/>
        </w:rPr>
        <w:t xml:space="preserve">- posiciones canónicas por instrumento y cantidad;</w:t>
      </w:r>
    </w:p>
    <w:p w:rsidR="00000000" w:rsidDel="00000000" w:rsidP="00000000" w:rsidRDefault="00000000" w:rsidRPr="00000000" w14:paraId="00000099">
      <w:pPr>
        <w:spacing w:after="240" w:before="240" w:lineRule="auto"/>
        <w:rPr/>
      </w:pPr>
      <w:r w:rsidDel="00000000" w:rsidR="00000000" w:rsidRPr="00000000">
        <w:rPr>
          <w:rtl w:val="0"/>
        </w:rPr>
        <w:t xml:space="preserve">- balances monetarios canónicos por moneda e importe.</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La procedencia de Target Determination no participa en igualdad, hash ni semantic_identity.</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El Target puede ser económicamente vacío.</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12. Procedencia mínima del Target</w:t>
      </w:r>
    </w:p>
    <w:p w:rsidR="00000000" w:rsidDel="00000000" w:rsidP="00000000" w:rsidRDefault="00000000" w:rsidRPr="00000000" w14:paraId="000000A0">
      <w:pPr>
        <w:spacing w:after="240" w:before="240" w:lineRule="auto"/>
        <w:rPr/>
      </w:pPr>
      <w:r w:rsidDel="00000000" w:rsidR="00000000" w:rsidRPr="00000000">
        <w:rPr>
          <w:rtl w:val="0"/>
        </w:rPr>
        <w:t xml:space="preserve">Cuando PortfolioState desempeña el rol Target debe preservar, sin afectar su identidad económica:</w:t>
      </w:r>
    </w:p>
    <w:p w:rsidR="00000000" w:rsidDel="00000000" w:rsidP="00000000" w:rsidRDefault="00000000" w:rsidRPr="00000000" w14:paraId="000000A1">
      <w:pPr>
        <w:spacing w:after="240" w:before="240" w:lineRule="auto"/>
        <w:rPr/>
      </w:pPr>
      <w:r w:rsidDel="00000000" w:rsidR="00000000" w:rsidRPr="00000000">
        <w:rPr>
          <w:rtl w:val="0"/>
        </w:rPr>
        <w:t xml:space="preserve">- current_portfolio_state;</w:t>
      </w:r>
    </w:p>
    <w:p w:rsidR="00000000" w:rsidDel="00000000" w:rsidP="00000000" w:rsidRDefault="00000000" w:rsidRPr="00000000" w14:paraId="000000A2">
      <w:pPr>
        <w:spacing w:after="240" w:before="240" w:lineRule="auto"/>
        <w:rPr/>
      </w:pPr>
      <w:r w:rsidDel="00000000" w:rsidR="00000000" w:rsidRPr="00000000">
        <w:rPr>
          <w:rtl w:val="0"/>
        </w:rPr>
        <w:t xml:space="preserve">- considered_risk_evaluation_results: los RiskEvaluationResult considerados por la determinación;</w:t>
      </w:r>
    </w:p>
    <w:p w:rsidR="00000000" w:rsidDel="00000000" w:rsidP="00000000" w:rsidRDefault="00000000" w:rsidRPr="00000000" w14:paraId="000000A3">
      <w:pPr>
        <w:spacing w:after="240" w:before="240" w:lineRule="auto"/>
        <w:rPr/>
      </w:pPr>
      <w:r w:rsidDel="00000000" w:rsidR="00000000" w:rsidRPr="00000000">
        <w:rPr>
          <w:rtl w:val="0"/>
        </w:rPr>
        <w:t xml:space="preserve">- contributing_risk_evaluation_results: subconjunto seleccionado por Portfolio como contribuyente;</w:t>
      </w:r>
    </w:p>
    <w:p w:rsidR="00000000" w:rsidDel="00000000" w:rsidP="00000000" w:rsidRDefault="00000000" w:rsidRPr="00000000" w14:paraId="000000A4">
      <w:pPr>
        <w:spacing w:after="240" w:before="240" w:lineRule="auto"/>
        <w:rPr/>
      </w:pPr>
      <w:r w:rsidDel="00000000" w:rsidR="00000000" w:rsidRPr="00000000">
        <w:rPr>
          <w:rtl w:val="0"/>
        </w:rPr>
        <w:t xml:space="preserve">- determination_basis_reference: basis_reference de la autoridad aplicada.</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Las DecisionProposal contribuyentes son derivables inequívocamente desde los RiskEvaluationResult y no deben duplicarse como fuente independiente de verdad.</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La procedencia debe ser inmutable y semánticamente independiente del orden de entrada.</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13. Invariantes de Target Determination</w:t>
      </w:r>
    </w:p>
    <w:p w:rsidR="00000000" w:rsidDel="00000000" w:rsidP="00000000" w:rsidRDefault="00000000" w:rsidRPr="00000000" w14:paraId="000000AB">
      <w:pPr>
        <w:spacing w:after="240" w:before="240" w:lineRule="auto"/>
        <w:rPr/>
      </w:pPr>
      <w:r w:rsidDel="00000000" w:rsidR="00000000" w:rsidRPr="00000000">
        <w:rPr>
          <w:rtl w:val="0"/>
        </w:rPr>
        <w:t xml:space="preserve">IA-001 — Dominancia de Risk</w:t>
      </w:r>
    </w:p>
    <w:p w:rsidR="00000000" w:rsidDel="00000000" w:rsidP="00000000" w:rsidRDefault="00000000" w:rsidRPr="00000000" w14:paraId="000000AC">
      <w:pPr>
        <w:spacing w:after="240" w:before="240" w:lineRule="auto"/>
        <w:rPr/>
      </w:pPr>
      <w:r w:rsidDel="00000000" w:rsidR="00000000" w:rsidRPr="00000000">
        <w:rPr>
          <w:rtl w:val="0"/>
        </w:rPr>
        <w:t xml:space="preserve">Ningún RiskEvaluationResult REJECTED puede ser considerado por una determinación válida.</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IA-002 — No ampliación</w:t>
      </w:r>
    </w:p>
    <w:p w:rsidR="00000000" w:rsidDel="00000000" w:rsidP="00000000" w:rsidRDefault="00000000" w:rsidRPr="00000000" w14:paraId="000000AF">
      <w:pPr>
        <w:spacing w:after="240" w:before="240" w:lineRule="auto"/>
        <w:rPr/>
      </w:pPr>
      <w:r w:rsidDel="00000000" w:rsidR="00000000" w:rsidRPr="00000000">
        <w:rPr>
          <w:rtl w:val="0"/>
        </w:rPr>
        <w:t xml:space="preserve">Portfolio no puede producir una composición que la autoridad conforme considere superior a una RiskConstraint aplicable.</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IA-003 — Restricción no interpretable</w:t>
      </w:r>
    </w:p>
    <w:p w:rsidR="00000000" w:rsidDel="00000000" w:rsidP="00000000" w:rsidRDefault="00000000" w:rsidRPr="00000000" w14:paraId="000000B2">
      <w:pPr>
        <w:spacing w:after="240" w:before="240" w:lineRule="auto"/>
        <w:rPr/>
      </w:pPr>
      <w:r w:rsidDel="00000000" w:rsidR="00000000" w:rsidRPr="00000000">
        <w:rPr>
          <w:rtl w:val="0"/>
        </w:rPr>
        <w:t xml:space="preserve">Si la autoridad no puede interpretar inequívocamente kind, limit, unit o contexto necesario de una RiskConstraint aplicable, la determinación falla.</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IA-004 — Selección propia</w:t>
      </w:r>
    </w:p>
    <w:p w:rsidR="00000000" w:rsidDel="00000000" w:rsidP="00000000" w:rsidRDefault="00000000" w:rsidRPr="00000000" w14:paraId="000000B5">
      <w:pPr>
        <w:spacing w:after="240" w:before="240" w:lineRule="auto"/>
        <w:rPr/>
      </w:pPr>
      <w:r w:rsidDel="00000000" w:rsidR="00000000" w:rsidRPr="00000000">
        <w:rPr>
          <w:rtl w:val="0"/>
        </w:rPr>
        <w:t xml:space="preserve">La selección de contribuyentes pertenece a la autoridad de Portfolio.</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IA-005 — Orientación</w:t>
      </w:r>
    </w:p>
    <w:p w:rsidR="00000000" w:rsidDel="00000000" w:rsidP="00000000" w:rsidRDefault="00000000" w:rsidRPr="00000000" w14:paraId="000000B8">
      <w:pPr>
        <w:spacing w:after="240" w:before="240" w:lineRule="auto"/>
        <w:rPr/>
      </w:pPr>
      <w:r w:rsidDel="00000000" w:rsidR="00000000" w:rsidRPr="00000000">
        <w:rPr>
          <w:rtl w:val="0"/>
        </w:rPr>
        <w:t xml:space="preserve">Toda propuesta contribuyente debe ser compatible con la exposición objetivo del InstrumentReference de su EconomicProposition.</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IA-006 — Unicidad de orientación contribuyente</w:t>
      </w:r>
    </w:p>
    <w:p w:rsidR="00000000" w:rsidDel="00000000" w:rsidP="00000000" w:rsidRDefault="00000000" w:rsidRPr="00000000" w14:paraId="000000BB">
      <w:pPr>
        <w:spacing w:after="240" w:before="240" w:lineRule="auto"/>
        <w:rPr/>
      </w:pPr>
      <w:r w:rsidDel="00000000" w:rsidR="00000000" w:rsidRPr="00000000">
        <w:rPr>
          <w:rtl w:val="0"/>
        </w:rPr>
        <w:t xml:space="preserve">En este MVP no puede haber más de una propuesta contribuyente por InstrumentReference.</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IA-007 — Cambios atribuibles</w:t>
      </w:r>
    </w:p>
    <w:p w:rsidR="00000000" w:rsidDel="00000000" w:rsidP="00000000" w:rsidRDefault="00000000" w:rsidRPr="00000000" w14:paraId="000000BE">
      <w:pPr>
        <w:spacing w:after="240" w:before="240" w:lineRule="auto"/>
        <w:rPr/>
      </w:pPr>
      <w:r w:rsidDel="00000000" w:rsidR="00000000" w:rsidRPr="00000000">
        <w:rPr>
          <w:rtl w:val="0"/>
        </w:rPr>
        <w:t xml:space="preserve">Toda modificación de cantidad de un instrumento entre Current y Target debe ser atribuible a una DecisionProposal contribuyente sobre ese instrumento.</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IA-008 — No mutación</w:t>
      </w:r>
    </w:p>
    <w:p w:rsidR="00000000" w:rsidDel="00000000" w:rsidP="00000000" w:rsidRDefault="00000000" w:rsidRPr="00000000" w14:paraId="000000C1">
      <w:pPr>
        <w:spacing w:after="240" w:before="240" w:lineRule="auto"/>
        <w:rPr/>
      </w:pPr>
      <w:r w:rsidDel="00000000" w:rsidR="00000000" w:rsidRPr="00000000">
        <w:rPr>
          <w:rtl w:val="0"/>
        </w:rPr>
        <w:t xml:space="preserve">Current PortfolioState, RiskEvaluationResult y DecisionProposal permanecen inmutables.</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IA-009 — Estado nuevo</w:t>
      </w:r>
    </w:p>
    <w:p w:rsidR="00000000" w:rsidDel="00000000" w:rsidP="00000000" w:rsidRDefault="00000000" w:rsidRPr="00000000" w14:paraId="000000C4">
      <w:pPr>
        <w:spacing w:after="240" w:before="240" w:lineRule="auto"/>
        <w:rPr/>
      </w:pPr>
      <w:r w:rsidDel="00000000" w:rsidR="00000000" w:rsidRPr="00000000">
        <w:rPr>
          <w:rtl w:val="0"/>
        </w:rPr>
        <w:t xml:space="preserve">Target Determination publica una nueva instancia de PortfolioState, incluso cuando su estado económico sea equivalente al Current.</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IA-010 — Identidad económica</w:t>
      </w:r>
    </w:p>
    <w:p w:rsidR="00000000" w:rsidDel="00000000" w:rsidP="00000000" w:rsidRDefault="00000000" w:rsidRPr="00000000" w14:paraId="000000C7">
      <w:pPr>
        <w:spacing w:after="240" w:before="240" w:lineRule="auto"/>
        <w:rPr/>
      </w:pPr>
      <w:r w:rsidDel="00000000" w:rsidR="00000000" w:rsidRPr="00000000">
        <w:rPr>
          <w:rtl w:val="0"/>
        </w:rPr>
        <w:t xml:space="preserve">La procedencia y la autoridad aplicada no alteran igualdad, hash ni semantic_identity del PortfolioState.</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IA-011 — Atomicidad</w:t>
      </w:r>
    </w:p>
    <w:p w:rsidR="00000000" w:rsidDel="00000000" w:rsidP="00000000" w:rsidRDefault="00000000" w:rsidRPr="00000000" w14:paraId="000000CA">
      <w:pPr>
        <w:spacing w:after="240" w:before="240" w:lineRule="auto"/>
        <w:rPr/>
      </w:pPr>
      <w:r w:rsidDel="00000000" w:rsidR="00000000" w:rsidRPr="00000000">
        <w:rPr>
          <w:rtl w:val="0"/>
        </w:rPr>
        <w:t xml:space="preserve">Una determinación válida produce exactamente un Target PortfolioState; una determinación inválida no produce resultado parcial.</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IA-012 — Separación de Execution</w:t>
      </w:r>
    </w:p>
    <w:p w:rsidR="00000000" w:rsidDel="00000000" w:rsidP="00000000" w:rsidRDefault="00000000" w:rsidRPr="00000000" w14:paraId="000000CD">
      <w:pPr>
        <w:spacing w:after="240" w:before="240" w:lineRule="auto"/>
        <w:rPr/>
      </w:pPr>
      <w:r w:rsidDel="00000000" w:rsidR="00000000" w:rsidRPr="00000000">
        <w:rPr>
          <w:rtl w:val="0"/>
        </w:rPr>
        <w:t xml:space="preserve">Target Determination no produce órdenes, BUY/SELL, routing, timing ni interacción con brokers o mercados.</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IA-013 — Independencia algorítmica</w:t>
      </w:r>
    </w:p>
    <w:p w:rsidR="00000000" w:rsidDel="00000000" w:rsidP="00000000" w:rsidRDefault="00000000" w:rsidRPr="00000000" w14:paraId="000000D0">
      <w:pPr>
        <w:spacing w:after="240" w:before="240" w:lineRule="auto"/>
        <w:rPr/>
      </w:pPr>
      <w:r w:rsidDel="00000000" w:rsidR="00000000" w:rsidRPr="00000000">
        <w:rPr>
          <w:rtl w:val="0"/>
        </w:rPr>
        <w:t xml:space="preserve">La arquitectura no depende de la política concreta utilizada por la autoridad para elegir la composición.</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14. Cambios monetarios</w:t>
      </w:r>
    </w:p>
    <w:p w:rsidR="00000000" w:rsidDel="00000000" w:rsidP="00000000" w:rsidRDefault="00000000" w:rsidRPr="00000000" w14:paraId="000000D3">
      <w:pPr>
        <w:spacing w:after="240" w:before="240" w:lineRule="auto"/>
        <w:rPr/>
      </w:pPr>
      <w:r w:rsidDel="00000000" w:rsidR="00000000" w:rsidRPr="00000000">
        <w:rPr>
          <w:rtl w:val="0"/>
        </w:rPr>
        <w:t xml:space="preserve">Portfolio puede determinar balances monetarios objetivo como parte de la composición.</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Este incremento no introduce valoración de mercado, precios, FX, P&amp;L ni cost basis. Si una autoridad necesita información que no está disponible mediante los contratos públicos autorizados para producir o justificar balances objetivo, debe fallar en este MVP en vez de obtener contexto oculto o inventar valores.</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15. Relación con PortfolioState existente</w:t>
      </w:r>
    </w:p>
    <w:p w:rsidR="00000000" w:rsidDel="00000000" w:rsidP="00000000" w:rsidRDefault="00000000" w:rsidRPr="00000000" w14:paraId="000000D8">
      <w:pPr>
        <w:spacing w:after="240" w:before="240" w:lineRule="auto"/>
        <w:rPr/>
      </w:pPr>
      <w:r w:rsidDel="00000000" w:rsidR="00000000" w:rsidRPr="00000000">
        <w:rPr>
          <w:rtl w:val="0"/>
        </w:rPr>
        <w:t xml:space="preserve">PortfolioState, PortfolioPosition y MonetaryBalance permanecen como activos válidos.</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Para soportar Target Determination, la procedencia Target existente debe evolucionar desde la cardinalidad singular heredada hacia la procedencia definida en la sección 12.</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La evolución de procedencia:</w:t>
      </w:r>
    </w:p>
    <w:p w:rsidR="00000000" w:rsidDel="00000000" w:rsidP="00000000" w:rsidRDefault="00000000" w:rsidRPr="00000000" w14:paraId="000000DD">
      <w:pPr>
        <w:spacing w:after="240" w:before="240" w:lineRule="auto"/>
        <w:rPr/>
      </w:pPr>
      <w:r w:rsidDel="00000000" w:rsidR="00000000" w:rsidRPr="00000000">
        <w:rPr>
          <w:rtl w:val="0"/>
        </w:rPr>
        <w:t xml:space="preserve">- no modifica posiciones ni balances;</w:t>
      </w:r>
    </w:p>
    <w:p w:rsidR="00000000" w:rsidDel="00000000" w:rsidP="00000000" w:rsidRDefault="00000000" w:rsidRPr="00000000" w14:paraId="000000DE">
      <w:pPr>
        <w:spacing w:after="240" w:before="240" w:lineRule="auto"/>
        <w:rPr/>
      </w:pPr>
      <w:r w:rsidDel="00000000" w:rsidR="00000000" w:rsidRPr="00000000">
        <w:rPr>
          <w:rtl w:val="0"/>
        </w:rPr>
        <w:t xml:space="preserve">- no modifica la identidad económica;</w:t>
      </w:r>
    </w:p>
    <w:p w:rsidR="00000000" w:rsidDel="00000000" w:rsidP="00000000" w:rsidRDefault="00000000" w:rsidRPr="00000000" w14:paraId="000000DF">
      <w:pPr>
        <w:spacing w:after="240" w:before="240" w:lineRule="auto"/>
        <w:rPr/>
      </w:pPr>
      <w:r w:rsidDel="00000000" w:rsidR="00000000" w:rsidRPr="00000000">
        <w:rPr>
          <w:rtl w:val="0"/>
        </w:rPr>
        <w:t xml:space="preserve">- no modifica la validez del estado vacío;</w:t>
      </w:r>
    </w:p>
    <w:p w:rsidR="00000000" w:rsidDel="00000000" w:rsidP="00000000" w:rsidRDefault="00000000" w:rsidRPr="00000000" w14:paraId="000000E0">
      <w:pPr>
        <w:spacing w:after="240" w:before="240" w:lineRule="auto"/>
        <w:rPr/>
      </w:pPr>
      <w:r w:rsidDel="00000000" w:rsidR="00000000" w:rsidRPr="00000000">
        <w:rPr>
          <w:rtl w:val="0"/>
        </w:rPr>
        <w:t xml:space="preserve">- no crea un segundo contrato de estado.</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Los campos legacy singulares decision_proposal y risk_evaluation_result no constituyen la procedencia normativa del Target recuperado. Su compatibilidad deberá verificarse contra consumidores reales antes de retirarlos; no se mantendrá una capa legacy artificial sin consumidor productivo demostrado.</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16. Fuera de alcance</w:t>
      </w:r>
    </w:p>
    <w:p w:rsidR="00000000" w:rsidDel="00000000" w:rsidP="00000000" w:rsidRDefault="00000000" w:rsidRPr="00000000" w14:paraId="000000E5">
      <w:pPr>
        <w:spacing w:after="240" w:before="240" w:lineRule="auto"/>
        <w:rPr/>
      </w:pPr>
      <w:r w:rsidDel="00000000" w:rsidR="00000000" w:rsidRPr="00000000">
        <w:rPr>
          <w:rtl w:val="0"/>
        </w:rPr>
        <w:t xml:space="preserve">No se implementan en este ciclo:</w:t>
      </w:r>
    </w:p>
    <w:p w:rsidR="00000000" w:rsidDel="00000000" w:rsidP="00000000" w:rsidRDefault="00000000" w:rsidRPr="00000000" w14:paraId="000000E6">
      <w:pPr>
        <w:spacing w:after="240" w:before="240" w:lineRule="auto"/>
        <w:rPr/>
      </w:pPr>
      <w:r w:rsidDel="00000000" w:rsidR="00000000" w:rsidRPr="00000000">
        <w:rPr>
          <w:rtl w:val="0"/>
        </w:rPr>
        <w:t xml:space="preserve">- optimización de cartera;</w:t>
      </w:r>
    </w:p>
    <w:p w:rsidR="00000000" w:rsidDel="00000000" w:rsidP="00000000" w:rsidRDefault="00000000" w:rsidRPr="00000000" w14:paraId="000000E7">
      <w:pPr>
        <w:spacing w:after="240" w:before="240" w:lineRule="auto"/>
        <w:rPr/>
      </w:pPr>
      <w:r w:rsidDel="00000000" w:rsidR="00000000" w:rsidRPr="00000000">
        <w:rPr>
          <w:rtl w:val="0"/>
        </w:rPr>
        <w:t xml:space="preserve">- ranking o scoring de oportunidades;</w:t>
      </w:r>
    </w:p>
    <w:p w:rsidR="00000000" w:rsidDel="00000000" w:rsidP="00000000" w:rsidRDefault="00000000" w:rsidRPr="00000000" w14:paraId="000000E8">
      <w:pPr>
        <w:spacing w:after="240" w:before="240" w:lineRule="auto"/>
        <w:rPr/>
      </w:pPr>
      <w:r w:rsidDel="00000000" w:rsidR="00000000" w:rsidRPr="00000000">
        <w:rPr>
          <w:rtl w:val="0"/>
        </w:rPr>
        <w:t xml:space="preserve">- rebalanceo automático;</w:t>
      </w:r>
    </w:p>
    <w:p w:rsidR="00000000" w:rsidDel="00000000" w:rsidP="00000000" w:rsidRDefault="00000000" w:rsidRPr="00000000" w14:paraId="000000E9">
      <w:pPr>
        <w:spacing w:after="240" w:before="240" w:lineRule="auto"/>
        <w:rPr/>
      </w:pPr>
      <w:r w:rsidDel="00000000" w:rsidR="00000000" w:rsidRPr="00000000">
        <w:rPr>
          <w:rtl w:val="0"/>
        </w:rPr>
        <w:t xml:space="preserve">- selección automática de una política de allocation;</w:t>
      </w:r>
    </w:p>
    <w:p w:rsidR="00000000" w:rsidDel="00000000" w:rsidP="00000000" w:rsidRDefault="00000000" w:rsidRPr="00000000" w14:paraId="000000EA">
      <w:pPr>
        <w:spacing w:after="240" w:before="240" w:lineRule="auto"/>
        <w:rPr/>
      </w:pPr>
      <w:r w:rsidDel="00000000" w:rsidR="00000000" w:rsidRPr="00000000">
        <w:rPr>
          <w:rtl w:val="0"/>
        </w:rPr>
        <w:t xml:space="preserve">- formulación automática de DecisionProposal;</w:t>
      </w:r>
    </w:p>
    <w:p w:rsidR="00000000" w:rsidDel="00000000" w:rsidP="00000000" w:rsidRDefault="00000000" w:rsidRPr="00000000" w14:paraId="000000EB">
      <w:pPr>
        <w:spacing w:after="240" w:before="240" w:lineRule="auto"/>
        <w:rPr/>
      </w:pPr>
      <w:r w:rsidDel="00000000" w:rsidR="00000000" w:rsidRPr="00000000">
        <w:rPr>
          <w:rtl w:val="0"/>
        </w:rPr>
        <w:t xml:space="preserve">- cálculo de Risk;</w:t>
      </w:r>
    </w:p>
    <w:p w:rsidR="00000000" w:rsidDel="00000000" w:rsidP="00000000" w:rsidRDefault="00000000" w:rsidRPr="00000000" w14:paraId="000000EC">
      <w:pPr>
        <w:spacing w:after="240" w:before="240" w:lineRule="auto"/>
        <w:rPr/>
      </w:pPr>
      <w:r w:rsidDel="00000000" w:rsidR="00000000" w:rsidRPr="00000000">
        <w:rPr>
          <w:rtl w:val="0"/>
        </w:rPr>
        <w:t xml:space="preserve">- valoración o pricing;</w:t>
      </w:r>
    </w:p>
    <w:p w:rsidR="00000000" w:rsidDel="00000000" w:rsidP="00000000" w:rsidRDefault="00000000" w:rsidRPr="00000000" w14:paraId="000000ED">
      <w:pPr>
        <w:spacing w:after="240" w:before="240" w:lineRule="auto"/>
        <w:rPr/>
      </w:pPr>
      <w:r w:rsidDel="00000000" w:rsidR="00000000" w:rsidRPr="00000000">
        <w:rPr>
          <w:rtl w:val="0"/>
        </w:rPr>
        <w:t xml:space="preserve">- FX;</w:t>
      </w:r>
    </w:p>
    <w:p w:rsidR="00000000" w:rsidDel="00000000" w:rsidP="00000000" w:rsidRDefault="00000000" w:rsidRPr="00000000" w14:paraId="000000EE">
      <w:pPr>
        <w:spacing w:after="240" w:before="240" w:lineRule="auto"/>
        <w:rPr/>
      </w:pPr>
      <w:r w:rsidDel="00000000" w:rsidR="00000000" w:rsidRPr="00000000">
        <w:rPr>
          <w:rtl w:val="0"/>
        </w:rPr>
        <w:t xml:space="preserve">- persistencia;</w:t>
      </w:r>
    </w:p>
    <w:p w:rsidR="00000000" w:rsidDel="00000000" w:rsidP="00000000" w:rsidRDefault="00000000" w:rsidRPr="00000000" w14:paraId="000000EF">
      <w:pPr>
        <w:spacing w:after="240" w:before="240" w:lineRule="auto"/>
        <w:rPr/>
      </w:pPr>
      <w:r w:rsidDel="00000000" w:rsidR="00000000" w:rsidRPr="00000000">
        <w:rPr>
          <w:rtl w:val="0"/>
        </w:rPr>
        <w:t xml:space="preserve">- automatización;</w:t>
      </w:r>
    </w:p>
    <w:p w:rsidR="00000000" w:rsidDel="00000000" w:rsidP="00000000" w:rsidRDefault="00000000" w:rsidRPr="00000000" w14:paraId="000000F0">
      <w:pPr>
        <w:spacing w:after="240" w:before="240" w:lineRule="auto"/>
        <w:rPr/>
      </w:pPr>
      <w:r w:rsidDel="00000000" w:rsidR="00000000" w:rsidRPr="00000000">
        <w:rPr>
          <w:rtl w:val="0"/>
        </w:rPr>
        <w:t xml:space="preserve">- Portfolio Transition;</w:t>
      </w:r>
    </w:p>
    <w:p w:rsidR="00000000" w:rsidDel="00000000" w:rsidP="00000000" w:rsidRDefault="00000000" w:rsidRPr="00000000" w14:paraId="000000F1">
      <w:pPr>
        <w:spacing w:after="240" w:before="240" w:lineRule="auto"/>
        <w:rPr/>
      </w:pPr>
      <w:r w:rsidDel="00000000" w:rsidR="00000000" w:rsidRPr="00000000">
        <w:rPr>
          <w:rtl w:val="0"/>
        </w:rPr>
        <w:t xml:space="preserve">- Execution.</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Una autoridad de prueba o configuración explícita puede utilizarse para demostrar el contrato sin convertir esa regla de prueba en política oficial de inversión.</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17. Criterios de aceptación arquitectónica</w:t>
      </w:r>
    </w:p>
    <w:p w:rsidR="00000000" w:rsidDel="00000000" w:rsidP="00000000" w:rsidRDefault="00000000" w:rsidRPr="00000000" w14:paraId="000000F6">
      <w:pPr>
        <w:spacing w:after="240" w:before="240" w:lineRule="auto"/>
        <w:rPr/>
      </w:pPr>
      <w:r w:rsidDel="00000000" w:rsidR="00000000" w:rsidRPr="00000000">
        <w:rPr>
          <w:rtl w:val="0"/>
        </w:rPr>
        <w:t xml:space="preserve">CA-001 — Portfolio conserva ownership exclusivo de selección, allocation y composición final.</w:t>
      </w:r>
    </w:p>
    <w:p w:rsidR="00000000" w:rsidDel="00000000" w:rsidP="00000000" w:rsidRDefault="00000000" w:rsidRPr="00000000" w14:paraId="000000F7">
      <w:pPr>
        <w:spacing w:after="240" w:before="240" w:lineRule="auto"/>
        <w:rPr/>
      </w:pPr>
      <w:r w:rsidDel="00000000" w:rsidR="00000000" w:rsidRPr="00000000">
        <w:rPr>
          <w:rtl w:val="0"/>
        </w:rPr>
        <w:t xml:space="preserve">CA-002 — Risk conserva ownership exclusivo de aceptabilidad, sizing y límites.</w:t>
      </w:r>
    </w:p>
    <w:p w:rsidR="00000000" w:rsidDel="00000000" w:rsidP="00000000" w:rsidRDefault="00000000" w:rsidRPr="00000000" w14:paraId="000000F8">
      <w:pPr>
        <w:spacing w:after="240" w:before="240" w:lineRule="auto"/>
        <w:rPr/>
      </w:pPr>
      <w:r w:rsidDel="00000000" w:rsidR="00000000" w:rsidRPr="00000000">
        <w:rPr>
          <w:rtl w:val="0"/>
        </w:rPr>
        <w:t xml:space="preserve">CA-003 — Decision Model conserva ownership de EconomicProposition.</w:t>
      </w:r>
    </w:p>
    <w:p w:rsidR="00000000" w:rsidDel="00000000" w:rsidP="00000000" w:rsidRDefault="00000000" w:rsidRPr="00000000" w14:paraId="000000F9">
      <w:pPr>
        <w:spacing w:after="240" w:before="240" w:lineRule="auto"/>
        <w:rPr/>
      </w:pPr>
      <w:r w:rsidDel="00000000" w:rsidR="00000000" w:rsidRPr="00000000">
        <w:rPr>
          <w:rtl w:val="0"/>
        </w:rPr>
        <w:t xml:space="preserve">CA-004 — Target Determination soporta 1..N oportunidades autorizadas.</w:t>
      </w:r>
    </w:p>
    <w:p w:rsidR="00000000" w:rsidDel="00000000" w:rsidP="00000000" w:rsidRDefault="00000000" w:rsidRPr="00000000" w14:paraId="000000FA">
      <w:pPr>
        <w:spacing w:after="240" w:before="240" w:lineRule="auto"/>
        <w:rPr/>
      </w:pPr>
      <w:r w:rsidDel="00000000" w:rsidR="00000000" w:rsidRPr="00000000">
        <w:rPr>
          <w:rtl w:val="0"/>
        </w:rPr>
        <w:t xml:space="preserve">CA-005 — Portfolio puede elegir cero o más contribuyentes.</w:t>
      </w:r>
    </w:p>
    <w:p w:rsidR="00000000" w:rsidDel="00000000" w:rsidP="00000000" w:rsidRDefault="00000000" w:rsidRPr="00000000" w14:paraId="000000FB">
      <w:pPr>
        <w:spacing w:after="240" w:before="240" w:lineRule="auto"/>
        <w:rPr/>
      </w:pPr>
      <w:r w:rsidDel="00000000" w:rsidR="00000000" w:rsidRPr="00000000">
        <w:rPr>
          <w:rtl w:val="0"/>
        </w:rPr>
        <w:t xml:space="preserve">CA-006 — Target continúa siendo PortfolioState.</w:t>
      </w:r>
    </w:p>
    <w:p w:rsidR="00000000" w:rsidDel="00000000" w:rsidP="00000000" w:rsidRDefault="00000000" w:rsidRPr="00000000" w14:paraId="000000FC">
      <w:pPr>
        <w:spacing w:after="240" w:before="240" w:lineRule="auto"/>
        <w:rPr/>
      </w:pPr>
      <w:r w:rsidDel="00000000" w:rsidR="00000000" w:rsidRPr="00000000">
        <w:rPr>
          <w:rtl w:val="0"/>
        </w:rPr>
        <w:t xml:space="preserve">CA-007 — Target preserva procedencia plural y basis_reference.</w:t>
      </w:r>
    </w:p>
    <w:p w:rsidR="00000000" w:rsidDel="00000000" w:rsidP="00000000" w:rsidRDefault="00000000" w:rsidRPr="00000000" w14:paraId="000000FD">
      <w:pPr>
        <w:spacing w:after="240" w:before="240" w:lineRule="auto"/>
        <w:rPr/>
      </w:pPr>
      <w:r w:rsidDel="00000000" w:rsidR="00000000" w:rsidRPr="00000000">
        <w:rPr>
          <w:rtl w:val="0"/>
        </w:rPr>
        <w:t xml:space="preserve">CA-008 — La identidad económica de PortfolioState no cambia por procedencia.</w:t>
      </w:r>
    </w:p>
    <w:p w:rsidR="00000000" w:rsidDel="00000000" w:rsidP="00000000" w:rsidRDefault="00000000" w:rsidRPr="00000000" w14:paraId="000000FE">
      <w:pPr>
        <w:spacing w:after="240" w:before="240" w:lineRule="auto"/>
        <w:rPr/>
      </w:pPr>
      <w:r w:rsidDel="00000000" w:rsidR="00000000" w:rsidRPr="00000000">
        <w:rPr>
          <w:rtl w:val="0"/>
        </w:rPr>
        <w:t xml:space="preserve">CA-009 — Las restricciones no interpretables producen fallo explícito.</w:t>
      </w:r>
    </w:p>
    <w:p w:rsidR="00000000" w:rsidDel="00000000" w:rsidP="00000000" w:rsidRDefault="00000000" w:rsidRPr="00000000" w14:paraId="000000FF">
      <w:pPr>
        <w:spacing w:after="240" w:before="240" w:lineRule="auto"/>
        <w:rPr/>
      </w:pPr>
      <w:r w:rsidDel="00000000" w:rsidR="00000000" w:rsidRPr="00000000">
        <w:rPr>
          <w:rtl w:val="0"/>
        </w:rPr>
        <w:t xml:space="preserve">CA-010 — No se introduce un algoritmo oficial de allocation en este incremento.</w:t>
      </w:r>
    </w:p>
    <w:p w:rsidR="00000000" w:rsidDel="00000000" w:rsidP="00000000" w:rsidRDefault="00000000" w:rsidRPr="00000000" w14:paraId="00000100">
      <w:pPr>
        <w:spacing w:after="240" w:before="240" w:lineRule="auto"/>
        <w:rPr/>
      </w:pPr>
      <w:r w:rsidDel="00000000" w:rsidR="00000000" w:rsidRPr="00000000">
        <w:rPr>
          <w:rtl w:val="0"/>
        </w:rPr>
        <w:t xml:space="preserve">CA-011 — No se produce ningún activo de Execution.</w:t>
      </w:r>
    </w:p>
    <w:p w:rsidR="00000000" w:rsidDel="00000000" w:rsidP="00000000" w:rsidRDefault="00000000" w:rsidRPr="00000000" w14:paraId="00000101">
      <w:pPr>
        <w:spacing w:after="240" w:before="240" w:lineRule="auto"/>
        <w:rPr/>
      </w:pPr>
      <w:r w:rsidDel="00000000" w:rsidR="00000000" w:rsidRPr="00000000">
        <w:rPr>
          <w:rtl w:val="0"/>
        </w:rPr>
        <w:t xml:space="preserve">CA-012 — Portfolio Transition no constituye frontera obligatoria.</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18. Decisión de recuperación</w:t>
      </w:r>
    </w:p>
    <w:p w:rsidR="00000000" w:rsidDel="00000000" w:rsidP="00000000" w:rsidRDefault="00000000" w:rsidRPr="00000000" w14:paraId="00000104">
      <w:pPr>
        <w:spacing w:after="240" w:before="240" w:lineRule="auto"/>
        <w:rPr/>
      </w:pPr>
      <w:r w:rsidDel="00000000" w:rsidR="00000000" w:rsidRPr="00000000">
        <w:rPr>
          <w:rtl w:val="0"/>
        </w:rPr>
        <w:t xml:space="preserve">El bloqueo upstream de DecisionProposal queda resuelto por IT-029-001/002 v1.1.</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Portfolio Target Determination es ahora implementable sin inventar allocation mediante una autoridad explícita propiedad de Portfolio. La autoridad determina selección y composición; Risk limita el espacio permitido; la acción publica un PortfolioState objetivo con procedencia completa y sin acoplar el contrato al algoritmo concreto.</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