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gy80jli92j5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DOC-027 — Strategy Evaluation Capability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feue23995o6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0.1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Draft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Dependencias: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DOC-001 — Visión, Alcance y Especificación de Ingeniería del Sistema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DOC-002 — Constitución del Sistema (Reglas Inmutables de Ingeniería)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DOC-003 — Filosofía de Inversión y Modelo de Decisión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DOC-004 — Modelo Científico de Investigación y Validación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DOC-025 — Research Capability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DOC-026 — Knowledge Lifecycle Architecture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eoigw8h6ebo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Propósito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Strategy Evaluation Capability</w:t>
      </w:r>
      <w:r w:rsidDel="00000000" w:rsidR="00000000" w:rsidRPr="00000000">
        <w:rPr>
          <w:rtl w:val="0"/>
        </w:rPr>
        <w:t xml:space="preserve"> constituye el dominio responsable deevaluar estrategias de inversión utilizando conocimiento científico previamente validado dentro de un contexto explícito de evaluación, produciendo evaluaciones objetivas, reproducibles y completamente trazables, reproducibles y auditables objetivas, reproducibles, completamente trazables y auditables sobre estrategias de inversión.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es determinar, mediante evidencia derivada del conocimiento disponible, las características, comportamiento esperado y limitaciones de una estrategia bajo un conjunto específico de condiciones, generando un activo reutilizable por los dominios posteriores de la plataforma.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capacidad representa la transición entre la fase de generación de conocimiento y la fase de utilización del conocimiento dentro del proceso de inversión.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zo8kzs7bjj9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Objetivos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Strategy Evaluation Capability tiene los siguientes objetivos: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Evaluar estrategias de inversión utilizando exclusivamente conocimiento previamente validado.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Producir evaluaciones objetivas, reproducibles y completamente trazables.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la comparación consistente entre múltiples estrategias bajo un mismo contexto de evaluación.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Proporcionar evidencia estructurada para los dominios responsables de la gestión del riesgo, administración de portafolios y ejecución.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Mantener una separación estricta entre evaluación científica y toma de decisiones operativas.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dvqe17w2b6n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Responsabilidad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exclusiva de este dominio es producir, conservar y estructurar evidencia objetiva sobre Strategies mediante evaluaciones individuales y comparaciones reproducibles entre evaluaciones compatibles.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Strategy Evaluation representa la evaluación formal de una estrategia utilizando el conocimiento disponible dentro de un contexto de mercado determinado.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evaluación constituye un activo arquitectónico independiente que documenta el comportamiento esperado de una estrategia y la evidencia utilizada durante su evaluación.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  <w:t xml:space="preserve">La Strategy Evaluation no constituye una recomendación de inversión ni una instrucción operativa.</w:t>
        <w:br w:type="textWrapping"/>
        <w:br w:type="textWrapping"/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3.1 Modelo Conceptual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Strategy Evaluation Capability introduce los conceptos arquitectónicos fundamentales </w:t>
      </w:r>
      <w:r w:rsidDel="00000000" w:rsidR="00000000" w:rsidRPr="00000000">
        <w:rPr>
          <w:b w:val="1"/>
          <w:bCs w:val="1"/>
          <w:rtl w:val="0"/>
        </w:rPr>
        <w:t xml:space="preserve">Strategy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Strategy Evaluation</w:t>
      </w:r>
      <w:r w:rsidDel="00000000" w:rsidR="00000000" w:rsidRPr="00000000">
        <w:rPr>
          <w:rtl w:val="0"/>
        </w:rPr>
        <w:t xml:space="preserve">, que constituyen el lenguaje ubicuo utilizado por los dominios responsables de la evaluación, gestión del riesgo, administración de portafolios y ejecución.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conceptos representan el modelo canónico de evaluación de estrategias dentro de la plataforma TramitaGO.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tm3b2n9zkk5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Strategy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Strategy</w:t>
      </w:r>
      <w:r w:rsidDel="00000000" w:rsidR="00000000" w:rsidRPr="00000000">
        <w:rPr>
          <w:rtl w:val="0"/>
        </w:rPr>
        <w:t xml:space="preserve"> representa la especificación formal e inmutable de un conjunto de reglas de inversión destinadas a operar bajo determinadas condiciones de mercado.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Strategy describe </w:t>
      </w:r>
      <w:r w:rsidDel="00000000" w:rsidR="00000000" w:rsidRPr="00000000">
        <w:rPr>
          <w:b w:val="1"/>
          <w:bCs w:val="1"/>
          <w:rtl w:val="0"/>
        </w:rPr>
        <w:t xml:space="preserve">qué pretende hacer una metodología de inversión</w:t>
      </w:r>
      <w:r w:rsidDel="00000000" w:rsidR="00000000" w:rsidRPr="00000000">
        <w:rPr>
          <w:rtl w:val="0"/>
        </w:rPr>
        <w:t xml:space="preserve">, pero no establece si dicha metodología resulta adecuada para un contexto específico.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Strategy constituye una entrada del proceso de evaluación y no un resultado de la investigación científica ni de la gestión del conocimiento.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Strategy podrá definirse mediante cualquier metodología compatible con la arquitectura de la plataforma, incluyendo reglas determinísticas, modelos estadísticos, modelos de aprendizaje automático u otras aproximaciones equivalentes.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Independientemente de su origen, toda Strategy será tratada como una especificación independiente cuya evaluación corresponde exclusivamente a este dominio.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o6jadlj93bj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Strategy Evaluation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Strategy Evaluation</w:t>
      </w:r>
      <w:r w:rsidDel="00000000" w:rsidR="00000000" w:rsidRPr="00000000">
        <w:rPr>
          <w:rtl w:val="0"/>
        </w:rPr>
        <w:t xml:space="preserve"> representa la evaluación formal, objetiva y reproducible de una Strategy utilizando una versión explícita del conocimiento disponible y un contexto de evaluación determinado.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Strategy Evaluation constituye el activo fundamental producido por este dominio. Incrementos posteriores podrán introducir activos derivados de evaluación, como StrategyEvaluationComparison, preservando siempre la trazabilidad hacia las StrategyEvaluation originales. 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consiste en documentar el comportamiento esperado de una Strategy, la evidencia utilizada durante su evaluación y las conclusiones obtenidas, preservando la trazabilidad completa del proceso.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Strategy Evaluation no representa una recomendación de inversión ni una autorización para ejecutar operaciones.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ai7j2jflfvz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Evaluation Context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Evaluation Context</w:t>
      </w:r>
      <w:r w:rsidDel="00000000" w:rsidR="00000000" w:rsidRPr="00000000">
        <w:rPr>
          <w:rtl w:val="0"/>
        </w:rPr>
        <w:t xml:space="preserve"> representa el conjunto de condiciones bajo las cuales una Strategy es evaluada.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condiciones podrán incluir, entre otras: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período temporal;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universo de activos;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régimen de mercado;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horizonte de inversión;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 de evaluación;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versión del conocimiento utilizada.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Evaluation Context forma parte integral de toda Strategy Evaluation y garantiza la reproducibilidad de los resultados obtenidos.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u1v3if244nm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Evaluation Criteria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</w:t>
      </w:r>
      <w:r w:rsidDel="00000000" w:rsidR="00000000" w:rsidRPr="00000000">
        <w:rPr>
          <w:b w:val="1"/>
          <w:bCs w:val="1"/>
          <w:rtl w:val="0"/>
        </w:rPr>
        <w:t xml:space="preserve">Evaluation Criteria</w:t>
      </w:r>
      <w:r w:rsidDel="00000000" w:rsidR="00000000" w:rsidRPr="00000000">
        <w:rPr>
          <w:rtl w:val="0"/>
        </w:rPr>
        <w:t xml:space="preserve"> representan el conjunto de criterios objetivos utilizados para caracterizar una Strategy.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definición exacta de dichos criterios pertenece a los incrementos de implementación (IT), pero el dominio establece que toda evaluación deberá realizarse utilizando criterios explícitos, reproducibles y completamente auditables.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jwmxuva1ejb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Alcance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Strategy Evaluation Capability comprende: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Evaluación objetiva de estrategias individuales.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entre estrategias bajo condiciones equivalentes.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Caracterización del comportamiento esperado de cada estrategia.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Consolidación de la evidencia utilizada durante la evaluación.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evaluaciones reproducibles.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Publicación de evaluaciones para consumo por otros dominios.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xhc8cuv290z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Fuera de Alcance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dominio no es responsable de: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Obtener datos del mercado.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calidad de datos.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Publicar datasets.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Realizar investigación científica.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nuevo conocimiento.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conocimiento existente.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Diseñar estrategias.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Optimizar estrategias.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Aprendizaje automático continuo.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Gestión del riesgo.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Administración de portafolios.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Asignación de capital.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de órdenes.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Comunicación con brokers.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Seguimiento de posiciones abiertas.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responsabilidades pertenecen a otros dominios especializados de la plataforma.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vj7n5lp9rnx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Principios Arquitectónicos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Strategy Evaluation Capability se rige por los siguientes principios.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cgpb3gb384y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Separación de responsabilidades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evaluación constituye una responsabilidad independiente de la investigación, del conocimiento y de la gestión operativa.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dominio externo podrá modificar el proceso de evaluación.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tunn5vdnzqx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Trazabilidad completa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Strategy Evaluation deberá mantener referencia explícita al conocimiento utilizado durante su generación.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plataforma deberá poder reconstruir completamente cualquier evaluación realizada.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t7yfezfyoju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6.3 Reproducibilidad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misma estrategia evaluada utilizando la misma versión del conocimiento y bajo las mismas condiciones deberá producir resultados equivalentes.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huwgfnhi0sz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6.4 Inmutabilidad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Strategy Evaluation publicada no podrá modificarse.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Nuevas evaluaciones deberán producir nuevos activos independientes preservando el historial completo.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4c2y2dg1lp3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6.5 Independencia Operacional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evaluación no podrá depender de decisiones de riesgo, asignación de capital o ejecución.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una evaluación no implica autorización para operar.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  <w:t xml:space="preserve">6.6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Principio de Independencia de la Strategy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definición de una Strategy es independiente de su evaluación.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misma Strategy podrá ser evaluada múltiples veces utilizando diferentes versiones del conocimiento o distintos contextos de evaluación, produciendo múltiples Strategy Evaluation sin modificar la definición original de la Strategy.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principio garantiza la separación entre la especificación de una metodología de inversión y la evidencia obtenida sobre su comportamiento, preservando la trazabilidad y la reproducibilidad de la plataforma.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otu3yaq08ov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Posición dentro de la Arquitectura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Strategy Evaluation Capability consume exclusivamente conocimiento publicado por el dominio Knowledge.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de la evaluación constituye un nuevo activo arquitectónico reutilizable por dominios posteriores.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secuencia lógica de transformación de activos queda definida como:</w:t>
      </w:r>
    </w:p>
    <w:p w:rsidR="00000000" w:rsidDel="00000000" w:rsidP="00000000" w:rsidRDefault="00000000" w:rsidRPr="00000000" w14:paraId="00000079">
      <w:pPr>
        <w:ind w:left="1440" w:firstLine="0"/>
        <w:rPr/>
      </w:pPr>
      <w:r w:rsidDel="00000000" w:rsidR="00000000" w:rsidRPr="00000000">
        <w:rPr>
          <w:rtl w:val="0"/>
        </w:rPr>
        <w:t xml:space="preserve">Market Data</w:t>
      </w:r>
    </w:p>
    <w:p w:rsidR="00000000" w:rsidDel="00000000" w:rsidP="00000000" w:rsidRDefault="00000000" w:rsidRPr="00000000" w14:paraId="0000007A">
      <w:pPr>
        <w:ind w:left="1440" w:firstLine="0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7B">
      <w:pPr>
        <w:ind w:left="1440" w:firstLine="0"/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7C">
      <w:pPr>
        <w:ind w:left="1440" w:firstLine="0"/>
        <w:rPr/>
      </w:pPr>
      <w:r w:rsidDel="00000000" w:rsidR="00000000" w:rsidRPr="00000000">
        <w:rPr>
          <w:rtl w:val="0"/>
        </w:rPr>
        <w:t xml:space="preserve">Dataset</w:t>
      </w:r>
    </w:p>
    <w:p w:rsidR="00000000" w:rsidDel="00000000" w:rsidP="00000000" w:rsidRDefault="00000000" w:rsidRPr="00000000" w14:paraId="0000007D">
      <w:pPr>
        <w:ind w:left="1440" w:firstLine="0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7E">
      <w:pPr>
        <w:ind w:left="1440" w:firstLine="0"/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7F">
      <w:pPr>
        <w:ind w:left="1440" w:firstLine="0"/>
        <w:rPr/>
      </w:pPr>
      <w:r w:rsidDel="00000000" w:rsidR="00000000" w:rsidRPr="00000000">
        <w:rPr>
          <w:rtl w:val="0"/>
        </w:rPr>
        <w:t xml:space="preserve">Validated Dataset</w:t>
      </w:r>
    </w:p>
    <w:p w:rsidR="00000000" w:rsidDel="00000000" w:rsidP="00000000" w:rsidRDefault="00000000" w:rsidRPr="00000000" w14:paraId="00000080">
      <w:pPr>
        <w:ind w:left="1440" w:firstLine="0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81">
      <w:pPr>
        <w:ind w:left="1440" w:firstLine="0"/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82">
      <w:pPr>
        <w:ind w:left="1440" w:firstLine="0"/>
        <w:rPr/>
      </w:pPr>
      <w:r w:rsidDel="00000000" w:rsidR="00000000" w:rsidRPr="00000000">
        <w:rPr>
          <w:rtl w:val="0"/>
        </w:rPr>
        <w:t xml:space="preserve">Available Dataset</w:t>
      </w:r>
    </w:p>
    <w:p w:rsidR="00000000" w:rsidDel="00000000" w:rsidP="00000000" w:rsidRDefault="00000000" w:rsidRPr="00000000" w14:paraId="00000083">
      <w:pPr>
        <w:ind w:left="1440" w:firstLine="0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84">
      <w:pPr>
        <w:ind w:left="1440" w:firstLine="0"/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85">
      <w:pPr>
        <w:ind w:left="1440" w:firstLine="0"/>
        <w:rPr/>
      </w:pPr>
      <w:r w:rsidDel="00000000" w:rsidR="00000000" w:rsidRPr="00000000">
        <w:rPr>
          <w:rtl w:val="0"/>
        </w:rPr>
        <w:t xml:space="preserve">Research Result</w:t>
      </w:r>
    </w:p>
    <w:p w:rsidR="00000000" w:rsidDel="00000000" w:rsidP="00000000" w:rsidRDefault="00000000" w:rsidRPr="00000000" w14:paraId="00000086">
      <w:pPr>
        <w:ind w:left="1440" w:firstLine="0"/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87">
      <w:pPr>
        <w:ind w:left="1440" w:firstLine="0"/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88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Strategy</w:t>
      </w:r>
    </w:p>
    <w:p w:rsidR="00000000" w:rsidDel="00000000" w:rsidP="00000000" w:rsidRDefault="00000000" w:rsidRPr="00000000" w14:paraId="00000089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   │</w:t>
      </w:r>
    </w:p>
    <w:p w:rsidR="00000000" w:rsidDel="00000000" w:rsidP="00000000" w:rsidRDefault="00000000" w:rsidRPr="00000000" w14:paraId="0000008A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    │</w:t>
      </w:r>
    </w:p>
    <w:p w:rsidR="00000000" w:rsidDel="00000000" w:rsidP="00000000" w:rsidRDefault="00000000" w:rsidRPr="00000000" w14:paraId="0000008B">
      <w:pPr>
        <w:ind w:left="720" w:firstLine="0"/>
        <w:rPr/>
      </w:pPr>
      <w:r w:rsidDel="00000000" w:rsidR="00000000" w:rsidRPr="00000000">
        <w:rPr>
          <w:rtl w:val="0"/>
        </w:rPr>
        <w:t xml:space="preserve">Knowledge─┤</w:t>
      </w:r>
    </w:p>
    <w:p w:rsidR="00000000" w:rsidDel="00000000" w:rsidP="00000000" w:rsidRDefault="00000000" w:rsidRPr="00000000" w14:paraId="0000008C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    │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Evaluation Context ─</w:t>
      </w:r>
    </w:p>
    <w:p w:rsidR="00000000" w:rsidDel="00000000" w:rsidP="00000000" w:rsidRDefault="00000000" w:rsidRPr="00000000" w14:paraId="0000008E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    │</w:t>
      </w:r>
    </w:p>
    <w:p w:rsidR="00000000" w:rsidDel="00000000" w:rsidP="00000000" w:rsidRDefault="00000000" w:rsidRPr="00000000" w14:paraId="0000008F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    ▼</w:t>
      </w:r>
    </w:p>
    <w:p w:rsidR="00000000" w:rsidDel="00000000" w:rsidP="00000000" w:rsidRDefault="00000000" w:rsidRPr="00000000" w14:paraId="00000090">
      <w:pPr>
        <w:ind w:left="720" w:firstLine="0"/>
        <w:rPr/>
      </w:pPr>
      <w:r w:rsidDel="00000000" w:rsidR="00000000" w:rsidRPr="00000000">
        <w:rPr>
          <w:rtl w:val="0"/>
        </w:rPr>
        <w:t xml:space="preserve">             Strategy Evaluation</w:t>
      </w:r>
    </w:p>
    <w:p w:rsidR="00000000" w:rsidDel="00000000" w:rsidP="00000000" w:rsidRDefault="00000000" w:rsidRPr="00000000" w14:paraId="00000091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    │</w:t>
      </w:r>
    </w:p>
    <w:p w:rsidR="00000000" w:rsidDel="00000000" w:rsidP="00000000" w:rsidRDefault="00000000" w:rsidRPr="00000000" w14:paraId="00000092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    ▼</w:t>
      </w:r>
    </w:p>
    <w:p w:rsidR="00000000" w:rsidDel="00000000" w:rsidP="00000000" w:rsidRDefault="00000000" w:rsidRPr="00000000" w14:paraId="00000093">
      <w:pPr>
        <w:ind w:left="720" w:firstLine="0"/>
        <w:rPr/>
      </w:pPr>
      <w:r w:rsidDel="00000000" w:rsidR="00000000" w:rsidRPr="00000000">
        <w:rPr>
          <w:rtl w:val="0"/>
        </w:rPr>
        <w:t xml:space="preserve">             Risk Management</w:t>
      </w:r>
    </w:p>
    <w:p w:rsidR="00000000" w:rsidDel="00000000" w:rsidP="00000000" w:rsidRDefault="00000000" w:rsidRPr="00000000" w14:paraId="00000094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    │</w:t>
      </w:r>
    </w:p>
    <w:p w:rsidR="00000000" w:rsidDel="00000000" w:rsidP="00000000" w:rsidRDefault="00000000" w:rsidRPr="00000000" w14:paraId="00000095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    ▼</w:t>
      </w:r>
    </w:p>
    <w:p w:rsidR="00000000" w:rsidDel="00000000" w:rsidP="00000000" w:rsidRDefault="00000000" w:rsidRPr="00000000" w14:paraId="00000096">
      <w:pPr>
        <w:ind w:left="720" w:firstLine="0"/>
        <w:rPr/>
      </w:pPr>
      <w:r w:rsidDel="00000000" w:rsidR="00000000" w:rsidRPr="00000000">
        <w:rPr>
          <w:rtl w:val="0"/>
        </w:rPr>
        <w:t xml:space="preserve">           Portfolio Management</w:t>
      </w:r>
    </w:p>
    <w:p w:rsidR="00000000" w:rsidDel="00000000" w:rsidP="00000000" w:rsidRDefault="00000000" w:rsidRPr="00000000" w14:paraId="00000097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    │</w:t>
      </w:r>
    </w:p>
    <w:p w:rsidR="00000000" w:rsidDel="00000000" w:rsidP="00000000" w:rsidRDefault="00000000" w:rsidRPr="00000000" w14:paraId="00000098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    ▼</w:t>
      </w:r>
    </w:p>
    <w:p w:rsidR="00000000" w:rsidDel="00000000" w:rsidP="00000000" w:rsidRDefault="00000000" w:rsidRPr="00000000" w14:paraId="00000099">
      <w:pPr>
        <w:ind w:left="720" w:firstLine="0"/>
        <w:rPr/>
      </w:pPr>
      <w:r w:rsidDel="00000000" w:rsidR="00000000" w:rsidRPr="00000000">
        <w:rPr>
          <w:rtl w:val="0"/>
        </w:rPr>
        <w:t xml:space="preserve">                 Execution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dominio transforma un activo de entrada en un nuevo activo de mayor valor para el proceso de inversión, preservando una responsabilidad única y claramente delimitada.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815na702qeg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Activo Arquitectónico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producido por este dominio es la </w:t>
      </w:r>
      <w:r w:rsidDel="00000000" w:rsidR="00000000" w:rsidRPr="00000000">
        <w:rPr>
          <w:b w:val="1"/>
          <w:bCs w:val="1"/>
          <w:rtl w:val="0"/>
        </w:rPr>
        <w:t xml:space="preserve">Strategy Evaluation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Strategy Evaluation representa una evaluación formal, objetiva y reproducible de una estrategia de inversión bajo un conjunto específico de condiciones y utilizando una versión explícita del conocimiento disponible.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salida pública principal del dominio es Strategy Evaluation. Incrementos posteriores podrán incorporar activos derivados de evaluación, como StrategyEvaluationComparison, preservando siempre la trazabilidad hacia las StrategyEvaluation que les dieron origen.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es proporcionar evidencia suficiente para que dominios posteriores puedan continuar el proceso de inversión sin necesidad de repetir la evaluación realizada.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1ii4npqiahf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Relaciones con otros dominios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Strategy Evaluation Capability mantiene las siguientes relaciones arquitectónicas: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4.64754812373"/>
        <w:gridCol w:w="6920.864262899893"/>
        <w:tblGridChange w:id="0">
          <w:tblGrid>
            <w:gridCol w:w="2104.64754812373"/>
            <w:gridCol w:w="6920.86426289989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Dominio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Consume indirectamente información derivada de los datasets preparados por la plataforma.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Research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No realiza investigación ni modifica resultados experimentales.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Knowledge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Consume conocimiento publicado mediante las interfaces oficiales del dominio.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Risk Management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Proporciona Strategy Evaluations como entrada para el análisis de riesgo.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Portfolio Management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Proporciona evidencia objetiva para la construcción del portafolio.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Execution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No interactúa directamente con la ejecución de órdenes.</w:t>
            </w:r>
          </w:p>
        </w:tc>
      </w:tr>
    </w:tbl>
    <w:p w:rsidR="00000000" w:rsidDel="00000000" w:rsidP="00000000" w:rsidRDefault="00000000" w:rsidRPr="00000000" w14:paraId="000000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6uxusk4kel8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Resultado Esperado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 la implementación de esta capacidad, la plataforma será capaz de transformar conocimiento científico validado en evaluaciones objetivas de estrategias de inversión, preservando la trazabilidad, reproducibilidad e independencia entre la fase científica y la fase operacional.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esta capacidad completa la transición entre la generación de conocimiento y la evaluación sistemática de estrategias, estableciendo la base arquitectónica necesaria para la futura incorporación de los dominios de Risk Management, Portfolio Management y Execution.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