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9plozay1icj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DOC-000 — Índice Maestro de Arquitectura y Gobierno Documental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szkngm3y5gm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TramitaGO Quant Platform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yh92q2hx3jm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Identificación del documento</w:t>
      </w:r>
    </w:p>
    <w:p w:rsidR="00000000" w:rsidDel="00000000" w:rsidP="00000000" w:rsidRDefault="00000000" w:rsidRPr="00000000" w14:paraId="00000005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DOC-000</w:t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Nombre:</w:t>
      </w:r>
      <w:r w:rsidDel="00000000" w:rsidR="00000000" w:rsidRPr="00000000">
        <w:rPr>
          <w:rtl w:val="0"/>
        </w:rPr>
        <w:t xml:space="preserve"> Índice Maestro de Arquitectura y Gobierno Documental</w:t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Approved (Baseline 1.0 candidate)</w:t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Documento de Gobierno del Sistema</w:t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Dependencias:</w:t>
      </w:r>
      <w:r w:rsidDel="00000000" w:rsidR="00000000" w:rsidRPr="00000000">
        <w:rPr>
          <w:rtl w:val="0"/>
        </w:rPr>
        <w:t xml:space="preserve"> Todos los DOC y ADR existentes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8rzi8y9iqe4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Propósito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documento define la </w:t>
      </w:r>
      <w:r w:rsidDel="00000000" w:rsidR="00000000" w:rsidRPr="00000000">
        <w:rPr>
          <w:b w:val="1"/>
          <w:bCs w:val="1"/>
          <w:rtl w:val="0"/>
        </w:rPr>
        <w:t xml:space="preserve">estructura oficial, trazabilidad y reglas de gobierno de toda la documentación del sistema TramitaGO Quant Platform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función no es técnica.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función es:</w:t>
      </w:r>
    </w:p>
    <w:p w:rsidR="00000000" w:rsidDel="00000000" w:rsidP="00000000" w:rsidRDefault="00000000" w:rsidRPr="00000000" w14:paraId="00000010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Convertir un conjunto de documentos en un sistema documental gobernado, reproducible y auditable.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6ygn74vcpcx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Estado del sistema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proyecto se encuentra en:</w:t>
      </w:r>
    </w:p>
    <w:p w:rsidR="00000000" w:rsidDel="00000000" w:rsidP="00000000" w:rsidRDefault="00000000" w:rsidRPr="00000000" w14:paraId="00000014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Fase de transición entre diseño arquitectónico y construcción del MVP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implica:</w:t>
      </w:r>
    </w:p>
    <w:p w:rsidR="00000000" w:rsidDel="00000000" w:rsidP="00000000" w:rsidRDefault="00000000" w:rsidRPr="00000000" w14:paraId="00000016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arquitectura está definida en alto nivel.</w:t>
      </w:r>
    </w:p>
    <w:p w:rsidR="00000000" w:rsidDel="00000000" w:rsidP="00000000" w:rsidRDefault="00000000" w:rsidRPr="00000000" w14:paraId="0000001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primeros módulos técnicos han sido diseñados.</w:t>
      </w:r>
    </w:p>
    <w:p w:rsidR="00000000" w:rsidDel="00000000" w:rsidP="00000000" w:rsidRDefault="00000000" w:rsidRPr="00000000" w14:paraId="00000018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Aún no existe producción ni ejecución real de trading.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mvwtur83n0i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Baseline vigente</w:t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c7x8s8md5zz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Baseline 0.x (Pre-implementación controlada)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Incluye: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DOC-001 a DOC-015 (reestructurados)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ADR-001 a ADR-006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Características: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arquitectura conceptual estabilizada</w:t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decisiones técnicas iniciales definidas</w:t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inicio de implementación MVP en curso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0512bdobi5l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Estructura oficial del sistema documental</w:t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yogbtxpj2df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5.1 Tipos de artefactos</w:t>
      </w:r>
    </w:p>
    <w:p w:rsidR="00000000" w:rsidDel="00000000" w:rsidP="00000000" w:rsidRDefault="00000000" w:rsidRPr="00000000" w14:paraId="00000026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El sistema está compuesto por:</w:t>
      </w:r>
    </w:p>
    <w:p w:rsidR="00000000" w:rsidDel="00000000" w:rsidP="00000000" w:rsidRDefault="00000000" w:rsidRPr="00000000" w14:paraId="00000028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DOC: documentos de gobierno, arquitectura y diseño;</w:t>
      </w:r>
    </w:p>
    <w:p w:rsidR="00000000" w:rsidDel="00000000" w:rsidP="00000000" w:rsidRDefault="00000000" w:rsidRPr="00000000" w14:paraId="0000002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ADR: decisiones arquitectónicas formales;</w:t>
      </w:r>
    </w:p>
    <w:p w:rsidR="00000000" w:rsidDel="00000000" w:rsidP="00000000" w:rsidRDefault="00000000" w:rsidRPr="00000000" w14:paraId="0000002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IT: especificaciones técnicas incrementales;</w:t>
      </w:r>
    </w:p>
    <w:p w:rsidR="00000000" w:rsidDel="00000000" w:rsidP="00000000" w:rsidRDefault="00000000" w:rsidRPr="00000000" w14:paraId="0000002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código fuente;</w:t>
      </w:r>
    </w:p>
    <w:p w:rsidR="00000000" w:rsidDel="00000000" w:rsidP="00000000" w:rsidRDefault="00000000" w:rsidRPr="00000000" w14:paraId="0000002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configuración;</w:t>
      </w:r>
    </w:p>
    <w:p w:rsidR="00000000" w:rsidDel="00000000" w:rsidP="00000000" w:rsidRDefault="00000000" w:rsidRPr="00000000" w14:paraId="0000002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pruebas;</w:t>
      </w:r>
    </w:p>
    <w:p w:rsidR="00000000" w:rsidDel="00000000" w:rsidP="00000000" w:rsidRDefault="00000000" w:rsidRPr="00000000" w14:paraId="0000002E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datos de experimentación.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qo01yw0bwag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5.2 Jerarquía de gobernanza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Nivel 1 → DOC-000 (Gobierno del sistema)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Nivel 2 → DOC (Arquitectura y diseño)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Nivel 3 → ADR (Decisiones técnicas)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Nivel 4 → Implementación (Python MVP)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Nivel 5 → Evolución y optimización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veotql6bfx1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Convenciones de identificación</w:t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9356dpg0ym4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6.1 Documentos</w:t>
      </w:r>
    </w:p>
    <w:p w:rsidR="00000000" w:rsidDel="00000000" w:rsidP="00000000" w:rsidRDefault="00000000" w:rsidRPr="00000000" w14:paraId="00000039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Prefijo: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DOC-</w:t>
      </w:r>
    </w:p>
    <w:p w:rsidR="00000000" w:rsidDel="00000000" w:rsidP="00000000" w:rsidRDefault="00000000" w:rsidRPr="00000000" w14:paraId="0000003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Formato: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DOC-XXX</w:t>
      </w:r>
    </w:p>
    <w:p w:rsidR="00000000" w:rsidDel="00000000" w:rsidP="00000000" w:rsidRDefault="00000000" w:rsidRPr="00000000" w14:paraId="0000003B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Regla: </w:t>
      </w:r>
      <w:r w:rsidDel="00000000" w:rsidR="00000000" w:rsidRPr="00000000">
        <w:rPr>
          <w:b w:val="1"/>
          <w:bCs w:val="1"/>
          <w:rtl w:val="0"/>
        </w:rPr>
        <w:t xml:space="preserve">inmutable una vez asignado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9px31v77oi3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6.2 ADR</w:t>
      </w:r>
    </w:p>
    <w:p w:rsidR="00000000" w:rsidDel="00000000" w:rsidP="00000000" w:rsidRDefault="00000000" w:rsidRPr="00000000" w14:paraId="0000003E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Prefijo: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ADR-</w:t>
      </w:r>
    </w:p>
    <w:p w:rsidR="00000000" w:rsidDel="00000000" w:rsidP="00000000" w:rsidRDefault="00000000" w:rsidRPr="00000000" w14:paraId="0000003F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Formato: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ADR-XXX</w:t>
      </w:r>
    </w:p>
    <w:p w:rsidR="00000000" w:rsidDel="00000000" w:rsidP="00000000" w:rsidRDefault="00000000" w:rsidRPr="00000000" w14:paraId="00000040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Regla: decisiones independientes de implementación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spacing w:after="240" w:before="240" w:lineRule="auto"/>
        <w:rPr/>
      </w:pPr>
      <w:bookmarkStart w:colFirst="0" w:colLast="0" w:name="_hehb4slzaxb0" w:id="13"/>
      <w:bookmarkEnd w:id="13"/>
      <w:r w:rsidDel="00000000" w:rsidR="00000000" w:rsidRPr="00000000">
        <w:rPr>
          <w:rtl w:val="0"/>
        </w:rPr>
        <w:t xml:space="preserve">6.3 Especificaciones técnicas</w:t>
      </w:r>
    </w:p>
    <w:p w:rsidR="00000000" w:rsidDel="00000000" w:rsidP="00000000" w:rsidRDefault="00000000" w:rsidRPr="00000000" w14:paraId="00000043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Prefijo ordinario:</w:t>
      </w:r>
    </w:p>
    <w:p w:rsidR="00000000" w:rsidDel="00000000" w:rsidP="00000000" w:rsidRDefault="00000000" w:rsidRPr="00000000" w14:paraId="00000044">
      <w:pPr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IT-XXX-YYY</w:t>
      </w:r>
    </w:p>
    <w:p w:rsidR="00000000" w:rsidDel="00000000" w:rsidP="00000000" w:rsidRDefault="00000000" w:rsidRPr="00000000" w14:paraId="00000045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Donde:</w:t>
      </w:r>
    </w:p>
    <w:p w:rsidR="00000000" w:rsidDel="00000000" w:rsidP="00000000" w:rsidRDefault="00000000" w:rsidRPr="00000000" w14:paraId="00000046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XXX identifica la Capability propietaria;</w:t>
      </w:r>
    </w:p>
    <w:p w:rsidR="00000000" w:rsidDel="00000000" w:rsidP="00000000" w:rsidRDefault="00000000" w:rsidRPr="00000000" w14:paraId="0000004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YYY identifica el incremento secuencial dentro de dicha Capability.</w:t>
      </w:r>
    </w:p>
    <w:p w:rsidR="00000000" w:rsidDel="00000000" w:rsidP="00000000" w:rsidRDefault="00000000" w:rsidRPr="00000000" w14:paraId="00000048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Formato transversal excepcional:</w:t>
      </w:r>
    </w:p>
    <w:p w:rsidR="00000000" w:rsidDel="00000000" w:rsidP="00000000" w:rsidRDefault="00000000" w:rsidRPr="00000000" w14:paraId="0000004A">
      <w:pPr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IT-REF-YYY</w:t>
      </w:r>
    </w:p>
    <w:p w:rsidR="00000000" w:rsidDel="00000000" w:rsidP="00000000" w:rsidRDefault="00000000" w:rsidRPr="00000000" w14:paraId="0000004B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El formato IT-REF-YYY se reserva exclusivamente para incrementos técnicos de contratos de referencia transversales autorizados previamente mediante ADR.</w:t>
      </w:r>
    </w:p>
    <w:p w:rsidR="00000000" w:rsidDel="00000000" w:rsidP="00000000" w:rsidRDefault="00000000" w:rsidRPr="00000000" w14:paraId="0000004D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Su existencia no crea una Capability REF ni establece una autorización general para nuevos dominios compartidos.</w:t>
      </w:r>
    </w:p>
    <w:p w:rsidR="00000000" w:rsidDel="00000000" w:rsidP="00000000" w:rsidRDefault="00000000" w:rsidRPr="00000000" w14:paraId="0000004E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Primer identificador autorizado:</w:t>
      </w:r>
    </w:p>
    <w:p w:rsidR="00000000" w:rsidDel="00000000" w:rsidP="00000000" w:rsidRDefault="00000000" w:rsidRPr="00000000" w14:paraId="0000004F">
      <w:pPr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IT-REF-001 — Reference Identity Domain Contracts MVP.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wm5zulco4zf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Ciclo de vida de documentos</w:t>
      </w:r>
    </w:p>
    <w:p w:rsidR="00000000" w:rsidDel="00000000" w:rsidP="00000000" w:rsidRDefault="00000000" w:rsidRPr="00000000" w14:paraId="0000005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j79al7by0ts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Estados permitidos</w:t>
      </w:r>
    </w:p>
    <w:p w:rsidR="00000000" w:rsidDel="00000000" w:rsidP="00000000" w:rsidRDefault="00000000" w:rsidRPr="00000000" w14:paraId="00000053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Draft</w:t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Review</w:t>
      </w:r>
    </w:p>
    <w:p w:rsidR="00000000" w:rsidDel="00000000" w:rsidP="00000000" w:rsidRDefault="00000000" w:rsidRPr="00000000" w14:paraId="0000005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Approved</w:t>
      </w:r>
    </w:p>
    <w:p w:rsidR="00000000" w:rsidDel="00000000" w:rsidP="00000000" w:rsidRDefault="00000000" w:rsidRPr="00000000" w14:paraId="0000005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Deprecated</w:t>
      </w:r>
    </w:p>
    <w:p w:rsidR="00000000" w:rsidDel="00000000" w:rsidP="00000000" w:rsidRDefault="00000000" w:rsidRPr="00000000" w14:paraId="00000057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Archived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lmw7kvlxmrc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Reglas</w:t>
      </w:r>
    </w:p>
    <w:p w:rsidR="00000000" w:rsidDel="00000000" w:rsidP="00000000" w:rsidRDefault="00000000" w:rsidRPr="00000000" w14:paraId="0000005A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Solo documentos Approved pueden guiar implementación</w:t>
      </w:r>
    </w:p>
    <w:p w:rsidR="00000000" w:rsidDel="00000000" w:rsidP="00000000" w:rsidRDefault="00000000" w:rsidRPr="00000000" w14:paraId="0000005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Draft puede cambiar libremente</w:t>
      </w:r>
    </w:p>
    <w:p w:rsidR="00000000" w:rsidDel="00000000" w:rsidP="00000000" w:rsidRDefault="00000000" w:rsidRPr="00000000" w14:paraId="0000005C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Deprecated debe mantenerse por trazabilidad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6x7hrnu4wo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Registro de decisiones pendientes (estratégicas)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reconocen como válidas pero no activas: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migración a proveedor de datos profesional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motor event-driven backtesting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base de datos persistente</w:t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cloud deployment</w:t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IA para optimización de estrategias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xxjsv2o2l1d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Reglas de consistencia documental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Antes de crear o modificar cualquier documento:</w:t>
      </w:r>
    </w:p>
    <w:p w:rsidR="00000000" w:rsidDel="00000000" w:rsidP="00000000" w:rsidRDefault="00000000" w:rsidRPr="00000000" w14:paraId="00000068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Verificar coherencia con DOC-000</w:t>
      </w:r>
    </w:p>
    <w:p w:rsidR="00000000" w:rsidDel="00000000" w:rsidP="00000000" w:rsidRDefault="00000000" w:rsidRPr="00000000" w14:paraId="0000006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Verificar numeración existente</w:t>
      </w:r>
    </w:p>
    <w:p w:rsidR="00000000" w:rsidDel="00000000" w:rsidP="00000000" w:rsidRDefault="00000000" w:rsidRPr="00000000" w14:paraId="0000006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Verificar dependencias</w:t>
      </w:r>
    </w:p>
    <w:p w:rsidR="00000000" w:rsidDel="00000000" w:rsidP="00000000" w:rsidRDefault="00000000" w:rsidRPr="00000000" w14:paraId="0000006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Evitar duplicidad conceptual</w:t>
      </w:r>
    </w:p>
    <w:p w:rsidR="00000000" w:rsidDel="00000000" w:rsidP="00000000" w:rsidRDefault="00000000" w:rsidRPr="00000000" w14:paraId="0000006C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Validar posición en la secuencia lógica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qpu19liv0ed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Principios de gobierno</w:t>
      </w:r>
    </w:p>
    <w:p w:rsidR="00000000" w:rsidDel="00000000" w:rsidP="00000000" w:rsidRDefault="00000000" w:rsidRPr="00000000" w14:paraId="0000006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pdk9owbtoox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10.1 Fuente única de verdad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el conocimiento del sistema debe poder reconstruirse desde esta estructura.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u2lvl3zk4vu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10.2 Evolución controlada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arquitectura evoluciona solo mediante: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nuevos documentos</w:t>
      </w:r>
    </w:p>
    <w:p w:rsidR="00000000" w:rsidDel="00000000" w:rsidP="00000000" w:rsidRDefault="00000000" w:rsidRPr="00000000" w14:paraId="0000007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nuevos ADR</w:t>
      </w:r>
    </w:p>
    <w:p w:rsidR="00000000" w:rsidDel="00000000" w:rsidP="00000000" w:rsidRDefault="00000000" w:rsidRPr="00000000" w14:paraId="00000076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versiones explícitas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hsev1d8u5qm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10.3 Trazabilidad total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decisión debe poder explicarse retrospectivamente.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9kwhfb0reqj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10.4 No pérdida de información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Nada se elimina del sistema documental, solo cambia de estado.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9cfmj2xz9y2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Reorganización previa a Baseline 1.0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establece formalmente que:</w:t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DOC-014 → Estándares de Desarrollo de Software</w:t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DOC-015 → Implementación del Data Loader (MVP v0.1)</w:t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DOC-016 → Data Cleaner (planificado)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reorganización se considera:</w:t>
      </w:r>
    </w:p>
    <w:p w:rsidR="00000000" w:rsidDel="00000000" w:rsidP="00000000" w:rsidRDefault="00000000" w:rsidRPr="00000000" w14:paraId="00000084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corrección estructural previa al congelamiento de Baseline 1.0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rko2khl7m0b" w:id="25"/>
      <w:bookmarkEnd w:id="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Observación del sistema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documento marca un punto crítico:</w:t>
      </w:r>
    </w:p>
    <w:p w:rsidR="00000000" w:rsidDel="00000000" w:rsidP="00000000" w:rsidRDefault="00000000" w:rsidRPr="00000000" w14:paraId="00000088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El proyecto deja de ser una colección de decisiones y pasa a ser un sistema gobernado.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v24y8shlne1" w:id="26"/>
      <w:bookmarkEnd w:id="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Estado actual del sistema</w:t>
      </w:r>
    </w:p>
    <w:p w:rsidR="00000000" w:rsidDel="00000000" w:rsidP="00000000" w:rsidRDefault="00000000" w:rsidRPr="00000000" w14:paraId="0000008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lg1x37lv0fm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Listo para transición a implementación controlada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Siguientes pasos:</w:t>
      </w:r>
    </w:p>
    <w:p w:rsidR="00000000" w:rsidDel="00000000" w:rsidP="00000000" w:rsidRDefault="00000000" w:rsidRPr="00000000" w14:paraId="0000008D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DOC-014 (Estándares de Desarrollo de Software)</w:t>
      </w:r>
    </w:p>
    <w:p w:rsidR="00000000" w:rsidDel="00000000" w:rsidP="00000000" w:rsidRDefault="00000000" w:rsidRPr="00000000" w14:paraId="0000008E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Aplicación de estándares al código existente y futuro</w:t>
      </w:r>
    </w:p>
    <w:p w:rsidR="00000000" w:rsidDel="00000000" w:rsidP="00000000" w:rsidRDefault="00000000" w:rsidRPr="00000000" w14:paraId="0000008F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Reanudación del desarrollo del MVP</w:t>
      </w:r>
    </w:p>
    <w:p w:rsidR="00000000" w:rsidDel="00000000" w:rsidP="00000000" w:rsidRDefault="00000000" w:rsidRPr="00000000" w14:paraId="00000090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Validación progresiva del sistema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