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mnh76by9wp65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DOC-032 — Portfolio Capability</w:t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mkx0if56yrj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Documento:</w:t>
      </w:r>
      <w:r w:rsidDel="00000000" w:rsidR="00000000" w:rsidRPr="00000000">
        <w:rPr>
          <w:rtl w:val="0"/>
        </w:rPr>
        <w:t xml:space="preserve"> DOC-032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Portfolio Capability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Arquitectura de Capability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1gag3g1u05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Portfolio</w:t>
      </w:r>
      <w:r w:rsidDel="00000000" w:rsidR="00000000" w:rsidRPr="00000000">
        <w:rPr>
          <w:rtl w:val="0"/>
        </w:rPr>
        <w:t xml:space="preserve"> es responsable de determinar el estado objetivo del portafolio de inversión como consecuencia de una decisión de inversión cuya aceptabilidad ya ha sido determinada por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constituye la frontera arquitectónica entre la toma de decisiones de inversión y su posterior materialización operacional.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ejecuta operaciones sobre el mercado.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determina exclusivamente el estado objetivo que deberá representar el portafolio de inversión una vez incorporada una decisión aceptable.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gmneffukmel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Responsabilidad Arquitectónica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arquitectónica de Portfolio consiste exclusivamente en transformar el estado actual del portafolio, utilizando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cuya aceptabilidad ha sido determinada por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, para producir el estado objetivo del portafolio de inversión.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comienza cuando se encuentran simultáneamente disponibles:</w:t>
      </w:r>
    </w:p>
    <w:p w:rsidR="00000000" w:rsidDel="00000000" w:rsidP="00000000" w:rsidRDefault="00000000" w:rsidRPr="00000000" w14:paraId="0000001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arquitectónicamente válida;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arquitectónicamente válido;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correspondiente al estado actual del portafolio.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responsabilidad finaliza inmediatamente después de publicar el contrato público que representa el estado objetivo del portafolio.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el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ejecuta operaciones.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interpreta mecanismos de ejecución.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interactúa con mercados, brokers ni infraestructura operacional.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f1cor6pjlb6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Alcance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Portfolio comprende exclusivamente las siguientes responsabilidades arquitectónicas: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consumir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publicada por Decision Model;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consumir el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publicado por Risk;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consumir el contexto de dominio correspondiente al estado actual del portafolio;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el estado objetivo del portafolio de inversión;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publicar el contrato arquitectónico que representa dicho estado objetivo;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preservar la separación arquitectónica entre decisión de inversión y ejecución operacional.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Portfolio no comprende:</w:t>
      </w:r>
    </w:p>
    <w:p w:rsidR="00000000" w:rsidDel="00000000" w:rsidP="00000000" w:rsidRDefault="00000000" w:rsidRPr="00000000" w14:paraId="00000025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ejecución de órdenes;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generación de órdenes;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brokers;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interacción con mercados;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 de ejecución;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ejecución;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cuantitativos de asignación;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sizing;</w:t>
      </w:r>
    </w:p>
    <w:p w:rsidR="00000000" w:rsidDel="00000000" w:rsidP="00000000" w:rsidRDefault="00000000" w:rsidRPr="00000000" w14:paraId="0000002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rebalanceo operacional;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financieros;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infraestructura;</w:t>
      </w:r>
    </w:p>
    <w:p w:rsidR="00000000" w:rsidDel="00000000" w:rsidP="00000000" w:rsidRDefault="00000000" w:rsidRPr="00000000" w14:paraId="00000030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persistencia;</w:t>
      </w:r>
    </w:p>
    <w:p w:rsidR="00000000" w:rsidDel="00000000" w:rsidP="00000000" w:rsidRDefault="00000000" w:rsidRPr="00000000" w14:paraId="0000003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servicios de integración;</w:t>
      </w:r>
    </w:p>
    <w:p w:rsidR="00000000" w:rsidDel="00000000" w:rsidP="00000000" w:rsidRDefault="00000000" w:rsidRPr="00000000" w14:paraId="0000003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sincronización con sistemas externos.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uoniwr494ty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Contratos Públicos de Entrada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Portfolio</w:t>
      </w:r>
      <w:r w:rsidDel="00000000" w:rsidR="00000000" w:rsidRPr="00000000">
        <w:rPr>
          <w:rtl w:val="0"/>
        </w:rPr>
        <w:t xml:space="preserve"> consume exclusivamente los siguientes contratos públicos.</w:t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nce4ojxpy4n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DecisionProposal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consume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publicada por la Capability </w:t>
      </w:r>
      <w:r w:rsidDel="00000000" w:rsidR="00000000" w:rsidRPr="00000000">
        <w:rPr>
          <w:b w:val="1"/>
          <w:bCs w:val="1"/>
          <w:rtl w:val="0"/>
        </w:rPr>
        <w:t xml:space="preserve">Decision Model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DecisionProposal constituye el contrato público que representa una decisión de inversión completamente formulada.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dicho contrato.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preserva íntegramente su identidad contractual durante toda la responsabilidad arquitectónica.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4sge0ev4a0g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RiskEvaluationResult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consume el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publicado por la Capability </w:t>
      </w:r>
      <w:r w:rsidDel="00000000" w:rsidR="00000000" w:rsidRPr="00000000">
        <w:rPr>
          <w:b w:val="1"/>
          <w:bCs w:val="1"/>
          <w:rtl w:val="0"/>
        </w:rPr>
        <w:t xml:space="preserve">Risk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RiskEvaluationResult constituye el contrato público que representa la conclusión completa de la responsabilidad arquitectónica ejercida por Risk sobre una DecisionProposal.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dicho contrato.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preserva íntegramente su identidad contractual durante toda la responsabilidad arquitectónica.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 RiskEvaluationResult válido constituye la condición necesaria para el inicio de la responsabilidad arquitectónica de Portfolio.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mzfuiosfaei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Contextos de Dominio de Entrada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Además de los contratos públicos definidos anteriormente, Portfolio consume el contexto de dominio correspondiente al estado actual del portafolio de inversión.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estado actual del portafolio representa la realidad del dominio sobre la cual Portfolio ejerce su responsabilidad arquitectónica.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contexto de dominio no constituye el resultado de una responsabilidad arquitectónica previamente ejercida por otra Capability.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existencia no implica la aparición de una Capability adicional conforme a DOC-028.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consume dicho contexto exclusivamente como información necesaria para determinar el estado objetivo del portafolio.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la naturaleza arquitectónica del contexto consumido.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b0u1ley5100d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Contrato Público de Salida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publica un único contrato público.</w:t>
      </w:r>
    </w:p>
    <w:p w:rsidR="00000000" w:rsidDel="00000000" w:rsidP="00000000" w:rsidRDefault="00000000" w:rsidRPr="00000000" w14:paraId="0000004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contrato representa exclusivamente el estado objetivo del portafolio de inversión determinado como consecuencia de ejercer la responsabilidad arquitectónica de Portfolio.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constituye la finalización completa de la responsabilidad arquitectónica de la Capability.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representa un estado del dominio.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representa:</w:t>
      </w:r>
    </w:p>
    <w:p w:rsidR="00000000" w:rsidDel="00000000" w:rsidP="00000000" w:rsidRDefault="00000000" w:rsidRPr="00000000" w14:paraId="0000005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órdenes operativas;</w:t>
      </w:r>
    </w:p>
    <w:p w:rsidR="00000000" w:rsidDel="00000000" w:rsidP="00000000" w:rsidRDefault="00000000" w:rsidRPr="00000000" w14:paraId="0000005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instrucciones de ejecución;</w:t>
      </w:r>
    </w:p>
    <w:p w:rsidR="00000000" w:rsidDel="00000000" w:rsidP="00000000" w:rsidRDefault="00000000" w:rsidRPr="00000000" w14:paraId="0000005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ejecución;</w:t>
      </w:r>
    </w:p>
    <w:p w:rsidR="00000000" w:rsidDel="00000000" w:rsidP="00000000" w:rsidRDefault="00000000" w:rsidRPr="00000000" w14:paraId="0000005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interacciones con brokers;</w:t>
      </w:r>
    </w:p>
    <w:p w:rsidR="00000000" w:rsidDel="00000000" w:rsidP="00000000" w:rsidRDefault="00000000" w:rsidRPr="00000000" w14:paraId="0000005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operaciones de mercado;</w:t>
      </w:r>
    </w:p>
    <w:p w:rsidR="00000000" w:rsidDel="00000000" w:rsidP="00000000" w:rsidRDefault="00000000" w:rsidRPr="00000000" w14:paraId="0000005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materialización operacional.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publicado por Portfolio constituye el único activo arquitectónico autorizado para iniciar la responsabilidad de la Capability </w:t>
      </w:r>
      <w:r w:rsidDel="00000000" w:rsidR="00000000" w:rsidRPr="00000000">
        <w:rPr>
          <w:b w:val="1"/>
          <w:bCs w:val="1"/>
          <w:rtl w:val="0"/>
        </w:rPr>
        <w:t xml:space="preserve">Execution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consume dicho contrato sin modificar su significado arquitectónico.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la naturaleza contractual del estado objetivo del portafolio.</w:t>
      </w:r>
    </w:p>
    <w:p w:rsidR="00000000" w:rsidDel="00000000" w:rsidP="00000000" w:rsidRDefault="00000000" w:rsidRPr="00000000" w14:paraId="000000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gs2dh2ziy1n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Fronteras Arquitectónicas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</w:t>
      </w:r>
      <w:r w:rsidDel="00000000" w:rsidR="00000000" w:rsidRPr="00000000">
        <w:rPr>
          <w:b w:val="1"/>
          <w:bCs w:val="1"/>
          <w:rtl w:val="0"/>
        </w:rPr>
        <w:t xml:space="preserve">Portfolio</w:t>
      </w:r>
      <w:r w:rsidDel="00000000" w:rsidR="00000000" w:rsidRPr="00000000">
        <w:rPr>
          <w:rtl w:val="0"/>
        </w:rPr>
        <w:t xml:space="preserve"> ejerce exclusivamente la responsabilidad arquitectónica definida por el presente documento.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comienza únicamente cuando se encuentran disponibles:</w:t>
      </w:r>
    </w:p>
    <w:p w:rsidR="00000000" w:rsidDel="00000000" w:rsidP="00000000" w:rsidRDefault="00000000" w:rsidRPr="00000000" w14:paraId="0000005C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válida;</w:t>
      </w:r>
    </w:p>
    <w:p w:rsidR="00000000" w:rsidDel="00000000" w:rsidP="00000000" w:rsidRDefault="00000000" w:rsidRPr="00000000" w14:paraId="0000005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válido;</w:t>
      </w:r>
    </w:p>
    <w:p w:rsidR="00000000" w:rsidDel="00000000" w:rsidP="00000000" w:rsidRDefault="00000000" w:rsidRPr="00000000" w14:paraId="0000005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correspondiente al estado actual del portafolio.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responsabilidad finaliza inmediatamente después de publicar el contrato público que representa el estado objetivo del portafolio de inversión.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extiende su responsabilidad más allá de dicho contrato.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participa en responsabilidades pertenecientes a otras Capabilities.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deberá preservar estrictamente estas fronteras arquitectónicas.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hf18sg44fck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Frontera con Decision Model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Decision Model finaliza su responsabilidad al publicar la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consume dicho contrato sin modificar:</w:t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su identidad;</w:t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semántica;</w:t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sus invariantes;</w:t>
      </w:r>
    </w:p>
    <w:p w:rsidR="00000000" w:rsidDel="00000000" w:rsidP="00000000" w:rsidRDefault="00000000" w:rsidRPr="00000000" w14:paraId="0000006A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 trazabilidad.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participa en la formulación de decisiones de inversión.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33gmi7ktowa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Frontera con Risk</w:t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Risk finaliza su responsabilidad al publicar el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consume dicho contrato sin reinterpretar:</w:t>
      </w:r>
    </w:p>
    <w:p w:rsidR="00000000" w:rsidDel="00000000" w:rsidP="00000000" w:rsidRDefault="00000000" w:rsidRPr="00000000" w14:paraId="0000007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 aceptabilidad;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base contractual de evaluación;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condiciones públicas determinadas por Risk.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incorpora políticas de riesgo.</w:t>
      </w:r>
    </w:p>
    <w:p w:rsidR="00000000" w:rsidDel="00000000" w:rsidP="00000000" w:rsidRDefault="00000000" w:rsidRPr="00000000" w14:paraId="0000007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reevalúa decisiones.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el resultado publicado por Risk.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5zwv8oqrow2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Frontera con Execution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finaliza su responsabilidad al publicar el estado objetivo del portafolio.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constituye la primera Capability autorizada para consumir dicho contrato.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determina exclusivamente la forma de materializar operacionalmente el estado objetivo publicado por Portfolio.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modifica el significado arquitectónico del contrato recibido.</w:t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genera órdenes.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interactúa con brokers.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participa en mecanismos de ejecución.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6ti66mzkaub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Relaciones Arquitectónicas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tyswxbsmaud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Relación con Decision Model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depende arquitectónicamente de la existencia de una </w:t>
      </w:r>
      <w:r w:rsidDel="00000000" w:rsidR="00000000" w:rsidRPr="00000000">
        <w:rPr>
          <w:b w:val="1"/>
          <w:bCs w:val="1"/>
          <w:rtl w:val="0"/>
        </w:rPr>
        <w:t xml:space="preserve">DecisionProposal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relación entre ambas Capabilities se establece exclusivamente mediante contratos públicos.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existen dependencias internas entre sus implementaciones.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af7k0a0w76b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Relación con Risk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depende arquitectónicamente de la conclusión completa de la responsabilidad ejercida por Risk.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existencia de un </w:t>
      </w:r>
      <w:r w:rsidDel="00000000" w:rsidR="00000000" w:rsidRPr="00000000">
        <w:rPr>
          <w:b w:val="1"/>
          <w:bCs w:val="1"/>
          <w:rtl w:val="0"/>
        </w:rPr>
        <w:t xml:space="preserve">RiskEvaluationResult</w:t>
      </w:r>
      <w:r w:rsidDel="00000000" w:rsidR="00000000" w:rsidRPr="00000000">
        <w:rPr>
          <w:rtl w:val="0"/>
        </w:rPr>
        <w:t xml:space="preserve"> válido constituye el único mecanismo autorizado para comunicar dicha conclusión.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establece mecanismos alternativos de comunicación con Risk.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hgsrpfrdtpt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Relación con Execution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depende arquitectónicamente del contrato publicado por Portfolio.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conoce la implementación de Execution.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no modifica la responsabilidad ejercida por Portfolio.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Ambas Capabilities permanecen desacopladas mediante contratos públicos.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futura deberá preservar dicho desacoplamiento.</w:t>
      </w:r>
    </w:p>
    <w:p w:rsidR="00000000" w:rsidDel="00000000" w:rsidP="00000000" w:rsidRDefault="00000000" w:rsidRPr="00000000" w14:paraId="000000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12n4ngom8l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Invariantes Arquitectónicas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siguientes propiedades deberán preservarse en toda evolución de la Capability Portfolio.</w:t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hb7tgz8ky40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IA-001 — Responsabilidad Única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ejerce exclusivamente la responsabilidad de determinar el estado objetivo del portafolio de inversión.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evolución posterior podrá incorporar responsabilidades pertenecientes a otras Capabilities.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jna71tefgsi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IA-002 — Inmutabilidad de los Contratos Consumidos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modifica la identidad, la semántica, las invariantes ni la trazabilidad de los contratos públicos que consume.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transformación ejercida por Portfolio preservará íntegramente los contratos recibidos.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elw3i2zc1hr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IA-003 — Separación entre Decisión y Ejecución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determina el estado objetivo del portafolio.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determina exclusivamente la forma de materializar dicho estado.</w:t>
      </w:r>
    </w:p>
    <w:p w:rsidR="00000000" w:rsidDel="00000000" w:rsidP="00000000" w:rsidRDefault="00000000" w:rsidRPr="00000000" w14:paraId="000000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separación constituye una propiedad permanente de la arquitectura.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i5006uxqb7b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IA-004 — Naturaleza del Contrato Publicado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contrato público publicado por Portfolio representa exclusivamente un estado objetivo del dominio.</w:t>
      </w:r>
    </w:p>
    <w:p w:rsidR="00000000" w:rsidDel="00000000" w:rsidP="00000000" w:rsidRDefault="00000000" w:rsidRPr="00000000" w14:paraId="000000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instrucciones operativas, mecanismos de ejecución ni comportamiento de infraestructura.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knonfeyoq5q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IA-005 — Consumo de Contexto de Dominio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contexto de dominio consumido por Portfolio no modifica la responsabilidad arquitectónica de la Capability.</w:t>
      </w:r>
    </w:p>
    <w:p w:rsidR="00000000" w:rsidDel="00000000" w:rsidP="00000000" w:rsidRDefault="00000000" w:rsidRPr="00000000" w14:paraId="000000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utilización de dicho contexto no implica la aparición de una nueva responsabilidad arquitectónica conforme a DOC-028.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e8jqv2xutgh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IA-006 — Desacoplamiento Arquitectónico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interactúa con las demás Capabilities exclusivamente mediante contratos públicos y contextos de dominio aprobados.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establecerá dependencias arquitectónicas sobre implementaciones internas de otras Capabilities.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gr3je2xwek7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Restricciones Arquitectónicas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siguientes restricciones deberán cumplirse en toda implementación derivada de la presente Capability.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hngeripqiil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RA-001 — Frontera de Entrada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únicamente podrá iniciar su responsabilidad cuando existan simultáneamente: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una DecisionProposal válida;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RiskEvaluationResult válido;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 contexto de dominio correspondiente al estado actual del portafolio.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71f014cl61q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RA-002 — Frontera de Salida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únicamente podrá finalizar su responsabilidad mediante la publicación del contrato público que representa el estado objetivo del portafolio.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ningún mecanismo alternativo para concluir la responsabilidad arquitectónica.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8j3w3f1pkkh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RA-003 — Independencia de la Ejecución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no dependerá de:</w:t>
      </w:r>
    </w:p>
    <w:p w:rsidR="00000000" w:rsidDel="00000000" w:rsidP="00000000" w:rsidRDefault="00000000" w:rsidRPr="00000000" w14:paraId="000000BA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brokers;</w:t>
      </w:r>
    </w:p>
    <w:p w:rsidR="00000000" w:rsidDel="00000000" w:rsidP="00000000" w:rsidRDefault="00000000" w:rsidRPr="00000000" w14:paraId="000000BB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mercados;</w:t>
      </w:r>
    </w:p>
    <w:p w:rsidR="00000000" w:rsidDel="00000000" w:rsidP="00000000" w:rsidRDefault="00000000" w:rsidRPr="00000000" w14:paraId="000000B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tipos de orden;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estrategias de ejecución;</w:t>
      </w:r>
    </w:p>
    <w:p w:rsidR="00000000" w:rsidDel="00000000" w:rsidP="00000000" w:rsidRDefault="00000000" w:rsidRPr="00000000" w14:paraId="000000BE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infraestructura operacional.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hwq18cedj38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RA-004 — Independencia de Algoritmos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de Portfolio permanecerá independiente de:</w:t>
      </w:r>
    </w:p>
    <w:p w:rsidR="00000000" w:rsidDel="00000000" w:rsidP="00000000" w:rsidRDefault="00000000" w:rsidRPr="00000000" w14:paraId="000000C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modelos cuantitativos;</w:t>
      </w:r>
    </w:p>
    <w:p w:rsidR="00000000" w:rsidDel="00000000" w:rsidP="00000000" w:rsidRDefault="00000000" w:rsidRPr="00000000" w14:paraId="000000C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algoritmos de asignación;</w:t>
      </w:r>
    </w:p>
    <w:p w:rsidR="00000000" w:rsidDel="00000000" w:rsidP="00000000" w:rsidRDefault="00000000" w:rsidRPr="00000000" w14:paraId="000000C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sizing;</w:t>
      </w:r>
    </w:p>
    <w:p w:rsidR="00000000" w:rsidDel="00000000" w:rsidP="00000000" w:rsidRDefault="00000000" w:rsidRPr="00000000" w14:paraId="000000C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optimización;</w:t>
      </w:r>
    </w:p>
    <w:p w:rsidR="00000000" w:rsidDel="00000000" w:rsidP="00000000" w:rsidRDefault="00000000" w:rsidRPr="00000000" w14:paraId="000000C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rebalanceo;</w:t>
      </w:r>
    </w:p>
    <w:p w:rsidR="00000000" w:rsidDel="00000000" w:rsidP="00000000" w:rsidRDefault="00000000" w:rsidRPr="00000000" w14:paraId="000000C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modelos financieros.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de dichas responsabilidades requerirá incrementos técnicos posteriores compatibles con el presente documento.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46y941gkjt3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RA-005 — Preservación de Fronteras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evolución posterior podrá trasladar responsabilidades propias de Portfolio hacia:</w:t>
      </w:r>
    </w:p>
    <w:p w:rsidR="00000000" w:rsidDel="00000000" w:rsidP="00000000" w:rsidRDefault="00000000" w:rsidRPr="00000000" w14:paraId="000000C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Decision Model;</w:t>
      </w:r>
    </w:p>
    <w:p w:rsidR="00000000" w:rsidDel="00000000" w:rsidP="00000000" w:rsidRDefault="00000000" w:rsidRPr="00000000" w14:paraId="000000C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Risk;</w:t>
      </w:r>
    </w:p>
    <w:p w:rsidR="00000000" w:rsidDel="00000000" w:rsidP="00000000" w:rsidRDefault="00000000" w:rsidRPr="00000000" w14:paraId="000000C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Execution.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Tampoco podrá incorporar responsabilidades pertenecientes a dichas Capabilities dentro de Portfolio.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mqhmxdb9soy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Consecuencias Arquitectónicas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aprobación de la presente Capability establece las siguientes consecuencias arquitectónicas.</w:t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bx9mtbwakiz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CA-001</w:t>
      </w:r>
    </w:p>
    <w:p w:rsidR="00000000" w:rsidDel="00000000" w:rsidP="00000000" w:rsidRDefault="00000000" w:rsidRPr="00000000" w14:paraId="000000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arquitectura incorpora una separación explícita entre la determinación del estado objetivo del portafolio y su posterior materialización operacional.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con6skk3xq8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CA-002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evolución de los algoritmos de asignación, sizing, optimización y rebalanceo podrá realizarse sin modificar las responsabilidades arquitectónicas establecidas por el presente documento.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jlwtw4xpr6l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CA-003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Execution podrá evolucionar independientemente de Portfolio mientras preserve el contrato público publicado por esta Capability.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0wiot6c9zjb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CA-004</w:t>
      </w:r>
    </w:p>
    <w:p w:rsidR="00000000" w:rsidDel="00000000" w:rsidP="00000000" w:rsidRDefault="00000000" w:rsidRPr="00000000" w14:paraId="000000D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Portfolio podrá evolucionar internamente sin modificar las responsabilidades arquitectónicas de Decision Model ni de Risk.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18vg0r6eggv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CA-005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incorporación explícita de contextos de dominio como categoría arquitectónica preserva la separación entre responsabilidades de transformación y la información preexistente necesaria para ejercerlas.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qcf68818ti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CA-006</w:t>
      </w:r>
    </w:p>
    <w:p w:rsidR="00000000" w:rsidDel="00000000" w:rsidP="00000000" w:rsidRDefault="00000000" w:rsidRPr="00000000" w14:paraId="000000E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evolución posterior de la plataforma deberá preservar la secuencia arquitectónica: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DecisionProposal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RiskEvaluationResult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Portfolio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Estado Objetivo del Portafolio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Execution</w:t>
      </w:r>
    </w:p>
    <w:p w:rsidR="00000000" w:rsidDel="00000000" w:rsidP="00000000" w:rsidRDefault="00000000" w:rsidRPr="00000000" w14:paraId="000000E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Ninguna Capability posterior podrá alterar esta secuencia mediante la reasignación de responsabilidades sin una revisión arquitectónica formal.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