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h74m6xtnv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IT-REF-001 — Reference Identity Domain Contracts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0lma2zc9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3ywpcutnq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IT-REF-001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Reference Identity Domain Contracts MVP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Especificación Técnica Transversal Excepcional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Autorización:</w:t>
      </w:r>
      <w:r w:rsidDel="00000000" w:rsidR="00000000" w:rsidRPr="00000000">
        <w:rPr>
          <w:rtl w:val="0"/>
        </w:rPr>
        <w:t xml:space="preserve"> ADR-011 — Autorización Excepcional de Contratos Fundamentales de Identidad de Referencia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jh21936uv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Materializar conjuntamente los contratos públicos, inmutables, tipados, canónicos, reproducibles y no intercambiables que representan: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referencia de instrumento;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referencia de moneda.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materializa activos completos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kcvt4s9yo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Propósito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resuelve las dependencias contractuales que bloquean IT-032-001.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consiste exclusivamente en proporcionar identidades públicas estables para que los contratos de dominio puedan referirse a instrumentos y monedas sin utilizar cadenas opacas ni depender de una Capability consumidora.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ac9j2pe3z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 Arquitectónico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dos contratos públicos neutrales: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contratos deberán poder ser consumidos por Portfolio y por futuras Capabilities sin depender de dichas Capabilities.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q7fed715z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comprende exclusivamente: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sus identidades semánticas;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sus formas canónicas;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sus invariantes estructurales;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igualdad y hash;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excepciones estructurales específicas;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exportaciones públicas neutrales;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pruebas unitarias y arquitectónicas;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demostración funcional determinista.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comprende: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como activos completos;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catálogos;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registries;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identificadores;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 de proveedores;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exchanges;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mercados;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emisores;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 de activo;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cambio;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servicios;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externas;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Portfolio.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1wls15gbe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Dependencias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incremento depende exclusivamente de: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 — Índice Maestro de Arquitectura y Gobierno Documental.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DOC-015 — Estructura del Repositorio y Entorno de Desarrollo.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Artificial.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Standard.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ADR-011 — Autorización Excepcional de Contratos Fundamentales de Identidad de Referencia.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depende de: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Evaluation;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Model;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IT-032-001.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o1ztopky8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Contratos Públicos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materializa exactamente dos contratos públicos: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autorizan contratos adicionales.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serán: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públicos;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inmutables;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reproducibles;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hashables;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canónicos;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estrictamente tipados;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intercambiables.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82q6jm4xv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InstrumentReference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fs56ptsu6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Naturaleza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representa exclusivamente una identidad pública de instrumento.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el instrumento completo.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lpvy7maw7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Componentes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contiene exactamente: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identification_scheme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identification_value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1ug6cumec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Identification Scheme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identification_scheme</w:t>
      </w:r>
      <w:r w:rsidDel="00000000" w:rsidR="00000000" w:rsidRPr="00000000">
        <w:rPr>
          <w:rtl w:val="0"/>
        </w:rPr>
        <w:t xml:space="preserve"> identifica el sistema bajo el cual debe interpretarse el valor.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ser: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textual;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obligatorio;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vacío;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canónico;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 de espacios periféricos;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estructuralmente válido.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forma canónica utilizará mayúsculas.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i0uzvhk4b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Identification Value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identification_value</w:t>
      </w:r>
      <w:r w:rsidDel="00000000" w:rsidR="00000000" w:rsidRPr="00000000">
        <w:rPr>
          <w:rtl w:val="0"/>
        </w:rPr>
        <w:t xml:space="preserve"> contiene el valor del instrumento dentro del esquema declarado.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textual;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obligatorio;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vacío;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 de espacios periféricos;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preservará su contenido significativo.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modificará automáticamente mayúsculas o minúsculas del valor, porque dicha normalización puede depender del esquema.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vag1sf7ce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Identidad Semántica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semántica dependerá exclusivamente 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canonical_identification_scheme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identification_value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dependerá de: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 aleatorios;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mercados;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ampa39uaq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Igualdad y Hash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referencias serán iguales cuando posean: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mismo esquema canónico;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mismo valor validado.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hash deberá derivarse de esos mismos componentes.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6vadiiju0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CurrencyReference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2kvo4feuv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Naturaleza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representa exclusivamente una identidad pública de moneda.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saldo;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tipo de cambio;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moneda base;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instrumento negociable;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jurisdicción completa.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ujzmhtb84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Componentes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contiene exactamente: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pnwr2cyw3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Currency Code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currency_code</w:t>
      </w:r>
      <w:r w:rsidDel="00000000" w:rsidR="00000000" w:rsidRPr="00000000">
        <w:rPr>
          <w:rtl w:val="0"/>
        </w:rPr>
        <w:t xml:space="preserve"> deberá ser: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textual;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obligatorio;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vacío;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 de espacios periféricos;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canónico;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canónica utilizará mayúsculas.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deberá contener exactamente tres caracteres alfabéticos ASCII.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es exclusivamente estructural.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verificará la existencia, vigencia o reconocimiento externo del código.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68uywd87d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Identidad Semántica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semántica dependerá exclusivamente del código canónico.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rrfb6rwxd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Igualdad y Hash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referencias serán iguales cuando posean el mismo código canónico.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hash deberá derivarse del mismo código.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k747a9gtk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 Intercambiabilidad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representan conceptos distintos.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serán equivalentes entre sí, aunque sus valores textuales coincidan.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deberá compartir una clase base pública que permita tratarlos como el mismo contrato de dominio.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reutilizar utilidades privadas de validación siempre que no se exponga una abstracción pública adicional.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7a5eqhd6r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Inmutabilidad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contratos serán completamente inmutables.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construidos, sus componentes no podrán modificarse.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variación deberá producir una nueva instancia.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oxkplzezn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Canonicalización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devg1xdze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InstrumentReference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canonicalización consistirá exclusivamente en: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la naturaleza textual;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ausencia o vacío;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espacios periféricos;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el esquema a mayúsculas;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el valor significativo.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eliminarán ni corregirán silenciosamente espacios periféricos.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aplicará normalización dependiente de un esquema concreto.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97hqu029z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CurrencyReference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canonicalización consistirá exclusivamente en: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la naturaleza textual;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ausencia o vacío;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espacios periféricos;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el código a mayúsculas;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tres caracteres alfabéticos ASCII.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8by2l6t61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Validaciones Estructurales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distinguir como mínimo: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esquema de instrumento ausente;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de instrumento de tipo inválido;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de instrumento vacío;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de instrumento con espacios periféricos;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instrumento ausente;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instrumento de tipo inválido;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instrumento vacío;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instrumento con espacios periféricos;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monetario ausente;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monetario de tipo inválido;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monetario vacío;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monetario con espacios periféricos;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 monetaria inválida;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caracteres monetarios inválidos.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validará: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existencia real del instrumento;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validez externa del esquema;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 de la moneda;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vigencia de la moneda;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 por proveedores, mercados o brokers.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l8u7fnjdw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Excepciones Públicas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exponer excepciones estructurales específicas pertenecientes al mismo dominio neutral.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ReferenceIdentityError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InvalidInstrumentReferenceError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InvalidCurrencyReferenceError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crearán excepciones de infraestructura ni de proveedor.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5e854yxlo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Identidad Reproducible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contratos deberán exponer una identidad reproducible estable.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reproducible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dependerá exclusivamente de: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esquema canónico;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validado.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reproducible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dependerá exclusivamente de: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código canónico.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concreta deberá: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determinista;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identidad de instancia;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UUID aleatorios;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timestamps;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estable ante construcciones equivalentes.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c7ouh8nha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Ubicación y Exportación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deberán ubicarse en un namespace público neutral y no perteneciente a ninguna Capability consumidora.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ubicación física deberá respetar DOC-015.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exportación pública deberá ser mínima y explícita.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publicarse desde: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quant_platform.portfolio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quant_platform.data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quant_platform.risk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quant_platform.execution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tznnkdpxm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Estrategia de Pruebas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aceptación requerirá pruebas independientes para: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f5gp5vbwz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InstrumentReference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válida;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 del esquema;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del valor;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ausente;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inválido;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vacío;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con espacios periféricos;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ausente;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inválido;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vacío;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con espacios periféricos;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igualdad;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desigualdad por esquema;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desigualdad por valor;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coherente;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reproducible.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0lyilgsov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CurrencyReference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válida;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 a mayúsculas;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ausente;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inválido;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vacío;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periféricos;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 distinta de tres;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caracteres no alfabéticos ASCII;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igualdad;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desigualdad;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coherente;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reproducible.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9xc8yysdl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ubicados fuera de Capabilities consumidoras;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dependencias hacia Portfolio;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dependencias hacia Data, Risk y Execution;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pública mínima;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inexistencia de activos completos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inexistencia de catálogos, registries, services e infraestructura;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intercambiabilidad entre ambos tipos.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q3x7des1g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Demostración Funcional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incorporar una demostración determinista e independiente de pytest que muestre: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de una referencia de instrumento;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 del esquema;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una referencia de moneda;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 del código;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 entre construcciones equivalentes;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desigualdad entre referencias diferentes;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reproducible;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intercambiabilidad;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error estructural de instrumento;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error estructural de moneda.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a55bh8xc2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Criterios de Aceptación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aceptada únicamente cuando: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existan exactamente dos contratos públicos;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sean inmutables;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posean representación canónica;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 y hash sean coherentes;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identidad reproducible sea determinista;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sean no intercambiables;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dependan de una Capability consumidora;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creen activos completos;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introduzcan servicios, infraestructura ni persistencia;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pruebas requeridas pasen;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suite completa permanezca en verde;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 pase;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higiene del repositorio pase;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demostración funcional pase;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sea aprobada por el Director del Proyecto.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a4cgg58gb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Consecuencias para IT-032-001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la aprobación e integración de IT-REF-001: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utilizará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para identificar posiciones;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utilizará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para identificar disponibilidades monetarias;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sección 6 de IT-032-001 deberá incorporar IT-REF-001 como dependencia;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sección 22 deberá sustituirse por una declaración de dependencias satisfechas;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IT-032-001 podrá ser reenviado al Agente de Implementación.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s6p79e8ek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Restricciones de Evolución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incrementos futuros no podrán ampliar estos contratos hacia: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activos completos;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catálogos;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metadata;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externa;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cambio;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documentación arquitectónica previa.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futuro contrato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podrá utilizar estas referencias como identidad, pero no modificará su semántica fundamental.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