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m84qe9g7yc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IT-033-001 — Portfolio Transition Domain Model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4fhs9nll3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IT-033-001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Portfolio Transition Domain Model MVP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Portfolio Transition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ndyr7nwu7ze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Responsabilidad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Materializar el modelo de dominio público, inmutable, trazable y reproducible que representa la transformación autorizada del portafolio determinada por 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, sin implementar todavía los algoritmos responsables de determinar dicha transformación.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bxcu58y1d7g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Propósito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incorpora la primera responsabilidad operacional de 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consiste exclusivamente en materializar el contrato público que representa la transformación autorizada del portafolio entre un estado actual y un estado objetivo.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implementa el primer activo público de la Capability.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incorpora: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de comparación entre estados;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de determinación de transiciones;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órdenes;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de ejecución;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operacionales;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ejecución.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dzwna3o2007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Objetivo Arquitectónico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 el contrato público mínimo definido por </w:t>
      </w:r>
      <w:r w:rsidDel="00000000" w:rsidR="00000000" w:rsidRPr="00000000">
        <w:rPr>
          <w:b w:val="1"/>
          <w:bCs w:val="1"/>
          <w:rtl w:val="0"/>
        </w:rPr>
        <w:t xml:space="preserve">DOC-033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contrato permitirá que la Capability </w:t>
      </w:r>
      <w:r w:rsidDel="00000000" w:rsidR="00000000" w:rsidRPr="00000000">
        <w:rPr>
          <w:b w:val="1"/>
          <w:bCs w:val="1"/>
          <w:rtl w:val="0"/>
        </w:rPr>
        <w:t xml:space="preserve">Execution</w:t>
      </w:r>
      <w:r w:rsidDel="00000000" w:rsidR="00000000" w:rsidRPr="00000000">
        <w:rPr>
          <w:rtl w:val="0"/>
        </w:rPr>
        <w:t xml:space="preserve"> determine, utilizando exclusivamente contratos públicos, cómo materializar operacionalmente la transformación previamente determinada.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implementa la determinación de la transformación.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 exclusivamente el activo contractual que representa dicha transformación.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ooer2ta6sb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Alcance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comprende exclusivamente: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materializar el contrato público de salida definido por DOC-033;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identidad semántica propia de la transformación autorizada del portafolio;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naturaleza relacional del activo entre el estado actual y el estado objetivo;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trazabilidad pública hacia los elementos del dominio que participan en la transformación;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invariantes mínimas del contrato;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validaciones estructurales mínimas necesarias para garantizar la consistencia del activo.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 comprende:</w:t>
      </w:r>
    </w:p>
    <w:p w:rsidR="00000000" w:rsidDel="00000000" w:rsidP="00000000" w:rsidRDefault="00000000" w:rsidRPr="00000000" w14:paraId="00000028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de determinación de transiciones;</w:t>
      </w:r>
    </w:p>
    <w:p w:rsidR="00000000" w:rsidDel="00000000" w:rsidP="00000000" w:rsidRDefault="00000000" w:rsidRPr="00000000" w14:paraId="0000002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entre estados;</w:t>
      </w:r>
    </w:p>
    <w:p w:rsidR="00000000" w:rsidDel="00000000" w:rsidP="00000000" w:rsidRDefault="00000000" w:rsidRPr="00000000" w14:paraId="0000002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2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órdenes;</w:t>
      </w:r>
    </w:p>
    <w:p w:rsidR="00000000" w:rsidDel="00000000" w:rsidP="00000000" w:rsidRDefault="00000000" w:rsidRPr="00000000" w14:paraId="0000002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operacional;</w:t>
      </w:r>
    </w:p>
    <w:p w:rsidR="00000000" w:rsidDel="00000000" w:rsidP="00000000" w:rsidRDefault="00000000" w:rsidRPr="00000000" w14:paraId="0000002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02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brokers;</w:t>
      </w:r>
    </w:p>
    <w:p w:rsidR="00000000" w:rsidDel="00000000" w:rsidP="00000000" w:rsidRDefault="00000000" w:rsidRPr="00000000" w14:paraId="0000002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mercados;</w:t>
      </w:r>
    </w:p>
    <w:p w:rsidR="00000000" w:rsidDel="00000000" w:rsidP="00000000" w:rsidRDefault="00000000" w:rsidRPr="00000000" w14:paraId="0000003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3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32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servicios.</w:t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g4ekt1ex95o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Dependencias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depende exclusivamente de: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Artificial.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Proceso de Determinación de Responsabilidades Arquitectónicas Emergentes.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Standard.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DOC-033 — Portfolio Transition Capability.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IT-032-001 — Portfolio State Domain Model MVP.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IT-REF-001 — Reference Identity Contracts.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introduce dependencias adicionales.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ycylmjl8uf2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Responsabilidad Arquitectónica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este incremento consiste exclusivamente en materializar el contrato público que representa la transformación autorizada del portafolio determinada por la Capability Portfolio Transition.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comienza cuando existen: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contexto de dominio correspondiente al estado actual del portafolio;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arquitectónicamente válido.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finaliza inmediatamente después de producir el contrato público correspondiente.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incremento: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determina el estado objetivo;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determina la transformación entre estados;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compara estados;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optimiza la transición;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genera órdenes;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planifica la ejecución;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ejecuta operaciones;</w:t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los contratos consumidos.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y96e58tqcqc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Contrato Público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materializa un único contrato público perteneciente a la Capability Portfolio Transition.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representa exclusivamente la transformación autorizada del dominio necesaria para convertir un estado actual válido del portafolio en el estado objetivo previamente determinado.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constituye el único resultado público autorizado de la Capability.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contratos públicos adicionales dentro del presente incremento.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PortfolioTransition podrá estar compuesto por valores públicos tipados que representen las transformaciones autorizadas sobre posiciones y disponibilidades monetarias.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Dichos valores constituyen componentes estructurales del contrato PortfolioTransition y no representan contratos públicos de salida adicionales.</w:t>
      </w:r>
    </w:p>
    <w:p w:rsidR="00000000" w:rsidDel="00000000" w:rsidP="00000000" w:rsidRDefault="00000000" w:rsidRPr="00000000" w14:paraId="00000055">
      <w:pPr>
        <w:pStyle w:val="Heading3"/>
        <w:spacing w:after="240" w:before="240" w:lineRule="auto"/>
        <w:rPr>
          <w:b w:val="1"/>
          <w:bCs w:val="1"/>
          <w:sz w:val="34"/>
          <w:szCs w:val="34"/>
        </w:rPr>
      </w:pPr>
      <w:bookmarkStart w:colFirst="0" w:colLast="0" w:name="_wjktbri4qq31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Componentes públicos autorizados</w:t>
      </w:r>
    </w:p>
    <w:p w:rsidR="00000000" w:rsidDel="00000000" w:rsidP="00000000" w:rsidRDefault="00000000" w:rsidRPr="00000000" w14:paraId="00000056">
      <w:pPr>
        <w:pStyle w:val="Heading4"/>
        <w:keepNext w:val="0"/>
        <w:keepLines w:val="0"/>
        <w:spacing w:before="280" w:lineRule="auto"/>
        <w:rPr/>
      </w:pPr>
      <w:bookmarkStart w:colFirst="0" w:colLast="0" w:name="_um4dc4itsiny" w:id="10"/>
      <w:bookmarkEnd w:id="10"/>
      <w:r w:rsidDel="00000000" w:rsidR="00000000" w:rsidRPr="00000000">
        <w:rPr>
          <w:rtl w:val="0"/>
        </w:rPr>
        <w:t xml:space="preserve">PortfolioPositionTransition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Campos públicos: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instrument: InstrumentReference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quantity_delta: Decimal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4"/>
        <w:keepNext w:val="0"/>
        <w:keepLines w:val="0"/>
        <w:spacing w:before="280" w:lineRule="auto"/>
        <w:rPr/>
      </w:pPr>
      <w:bookmarkStart w:colFirst="0" w:colLast="0" w:name="_a3nna8xbnfc5" w:id="11"/>
      <w:bookmarkEnd w:id="11"/>
      <w:r w:rsidDel="00000000" w:rsidR="00000000" w:rsidRPr="00000000">
        <w:rPr>
          <w:rtl w:val="0"/>
        </w:rPr>
        <w:t xml:space="preserve">PortfolioMonetaryTransition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Campos públicos: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currency: CurrencyReference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amount_delta: Decimal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Ambos componentes forman parte exclusivamente de la estructura contractual de PortfolioTransition.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representan activos independientes del dominio.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5lju9o3vhyt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Naturaleza del Activo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implementado por este incremento constituye un activo de dominio.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representa una transformación autorizada del portafolio.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estado del portafolio;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decisión de inversión;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evaluación de riesgo;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orden de mercado;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operación;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plan de ejecución;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algoritmo;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mecanismo de ejecución.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representa exclusivamente la transformación del dominio existente entre un estado actual válido del portafolio y un estado objetivo previamente determinado.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f4wwq630264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Identidad Arquitectónica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implementado por este incremento posee identidad semántica propia.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identidad arquitectónica corresponde a la relación autorizada entre:</w:t>
      </w:r>
    </w:p>
    <w:p w:rsidR="00000000" w:rsidDel="00000000" w:rsidP="00000000" w:rsidRDefault="00000000" w:rsidRPr="00000000" w14:paraId="00000078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estado actual del portafolio;</w:t>
      </w:r>
    </w:p>
    <w:p w:rsidR="00000000" w:rsidDel="00000000" w:rsidP="00000000" w:rsidRDefault="00000000" w:rsidRPr="00000000" w14:paraId="0000007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estado objetivo del portafolio;</w:t>
      </w:r>
    </w:p>
    <w:p w:rsidR="00000000" w:rsidDel="00000000" w:rsidP="00000000" w:rsidRDefault="00000000" w:rsidRPr="00000000" w14:paraId="0000007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pública coherente que vincula ambos estados.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del activo no dependerá de:</w:t>
      </w:r>
    </w:p>
    <w:p w:rsidR="00000000" w:rsidDel="00000000" w:rsidP="00000000" w:rsidRDefault="00000000" w:rsidRPr="00000000" w14:paraId="0000007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implementación utilizada para construir la transición;</w:t>
      </w:r>
    </w:p>
    <w:p w:rsidR="00000000" w:rsidDel="00000000" w:rsidP="00000000" w:rsidRDefault="00000000" w:rsidRPr="00000000" w14:paraId="0000007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infraestructura;</w:t>
      </w:r>
    </w:p>
    <w:p w:rsidR="00000000" w:rsidDel="00000000" w:rsidP="00000000" w:rsidRDefault="00000000" w:rsidRPr="00000000" w14:paraId="0000007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broker;</w:t>
      </w:r>
    </w:p>
    <w:p w:rsidR="00000000" w:rsidDel="00000000" w:rsidP="00000000" w:rsidRDefault="00000000" w:rsidRPr="00000000" w14:paraId="0000007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mecanismo posterior de ejecución;</w:t>
      </w:r>
    </w:p>
    <w:p w:rsidR="00000000" w:rsidDel="00000000" w:rsidP="00000000" w:rsidRDefault="00000000" w:rsidRPr="00000000" w14:paraId="0000008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de instancia;</w:t>
      </w:r>
    </w:p>
    <w:p w:rsidR="00000000" w:rsidDel="00000000" w:rsidP="00000000" w:rsidRDefault="00000000" w:rsidRPr="00000000" w14:paraId="00000081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construcción.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esta propiedad arquitectónica.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b72b3sn2rwk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Consumibilidad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implementado por este incremento constituye el único mecanismo autorizado para comunicar la transformación del dominio determinada por Portfolio Transition.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consumirá exclusivamente dicho contrato para iniciar su propia responsabilidad.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Capability posterior dependerá de: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internos de Portfolio Transition;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implementaciones particulares;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privados;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reconstrucción de la transformación a partir de los estados consumidos.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interacción arquitectónica deberá realizarse exclusivamente mediante el contrato público implementado por este incremento.</w:t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8vfoph9l6ea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Trazabilidad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preservará referencias públicas hacia los elementos del dominio que participan en la transformación autorizada del portafolio.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constituye una propiedad permanente del contrato.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de trazabilidad deberán permanecer independientes de la implementación utilizada para construir la transición.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permitirá reconstruir la relación arquitectónica entre:</w:t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contexto correspondiente al estado actual del portafolio;</w:t>
      </w:r>
    </w:p>
    <w:p w:rsidR="00000000" w:rsidDel="00000000" w:rsidP="00000000" w:rsidRDefault="00000000" w:rsidRPr="00000000" w14:paraId="0000009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consumido;</w:t>
      </w:r>
    </w:p>
    <w:p w:rsidR="00000000" w:rsidDel="00000000" w:rsidP="00000000" w:rsidRDefault="00000000" w:rsidRPr="00000000" w14:paraId="0000009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publicada.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de trazabilidad no autorizan reinterpretar la responsabilidad ejercida por Portfolio Transition.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we2ub7xg0dx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Compatibilidad Arquitectónica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preserva íntegramente las fronteras establecidas por DOC-033.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modifica:</w:t>
      </w:r>
    </w:p>
    <w:p w:rsidR="00000000" w:rsidDel="00000000" w:rsidP="00000000" w:rsidRDefault="00000000" w:rsidRPr="00000000" w14:paraId="0000009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9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09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9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introduce únicamente el contrato público correspondiente a Portfolio Transition.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la compatibilidad arquitectónica con dichos documentos.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rd46zefkscp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Invariantes del Modelo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implementado por este incremento deberá preservar permanentemente las siguientes propiedades.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bm3nyoktptm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IM-001 — Inmutabilidad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autorizada constituye un activo de dominio inmutable.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construido, el contrato no podrá modificarse.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producir un nuevo contrato.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4ikh01tpmb1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IM-002 — Identidad Semántica Relacional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del activo dependerá exclusivamente de:</w:t>
      </w:r>
    </w:p>
    <w:p w:rsidR="00000000" w:rsidDel="00000000" w:rsidP="00000000" w:rsidRDefault="00000000" w:rsidRPr="00000000" w14:paraId="000000A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identidad semántica del estado actual representado;</w:t>
      </w:r>
    </w:p>
    <w:p w:rsidR="00000000" w:rsidDel="00000000" w:rsidP="00000000" w:rsidRDefault="00000000" w:rsidRPr="00000000" w14:paraId="000000A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semántica del estado objetivo representado;</w:t>
      </w:r>
    </w:p>
    <w:p w:rsidR="00000000" w:rsidDel="00000000" w:rsidP="00000000" w:rsidRDefault="00000000" w:rsidRPr="00000000" w14:paraId="000000A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pública coherente que relaciona ambos estados.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dependerá de:</w:t>
      </w:r>
    </w:p>
    <w:p w:rsidR="00000000" w:rsidDel="00000000" w:rsidP="00000000" w:rsidRDefault="00000000" w:rsidRPr="00000000" w14:paraId="000000AF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B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B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construcción;</w:t>
      </w:r>
    </w:p>
    <w:p w:rsidR="00000000" w:rsidDel="00000000" w:rsidP="00000000" w:rsidRDefault="00000000" w:rsidRPr="00000000" w14:paraId="000000B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de instancia;</w:t>
      </w:r>
    </w:p>
    <w:p w:rsidR="00000000" w:rsidDel="00000000" w:rsidP="00000000" w:rsidRDefault="00000000" w:rsidRPr="00000000" w14:paraId="000000B3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posterior.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sid3haid73r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IM-003 — Igualdad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contratos serán arquitectónicamente equivalentes cuando representen exactamente la misma transformación autorizada entre el mismo estado actual y el mismo estado objetivo.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igualdad no dependerá de:</w:t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de instancia;</w:t>
      </w:r>
    </w:p>
    <w:p w:rsidR="00000000" w:rsidDel="00000000" w:rsidP="00000000" w:rsidRDefault="00000000" w:rsidRPr="00000000" w14:paraId="000000B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implementación;</w:t>
      </w:r>
    </w:p>
    <w:p w:rsidR="00000000" w:rsidDel="00000000" w:rsidP="00000000" w:rsidRDefault="00000000" w:rsidRPr="00000000" w14:paraId="000000B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construcción;</w:t>
      </w:r>
    </w:p>
    <w:p w:rsidR="00000000" w:rsidDel="00000000" w:rsidP="00000000" w:rsidRDefault="00000000" w:rsidRPr="00000000" w14:paraId="000000B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c37vps3ylsa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IM-004 — Hash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</w:t>
      </w:r>
      <w:r w:rsidDel="00000000" w:rsidR="00000000" w:rsidRPr="00000000">
        <w:rPr>
          <w:rtl w:val="0"/>
        </w:rPr>
        <w:t xml:space="preserve"> deberá derivarse exclusivamente de los mismos componentes semánticos utilizados para determinar la igualdad.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deberá garantizar la consistencia entre:</w:t>
      </w:r>
    </w:p>
    <w:p w:rsidR="00000000" w:rsidDel="00000000" w:rsidP="00000000" w:rsidRDefault="00000000" w:rsidRPr="00000000" w14:paraId="000000C0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identidad;</w:t>
      </w:r>
    </w:p>
    <w:p w:rsidR="00000000" w:rsidDel="00000000" w:rsidP="00000000" w:rsidRDefault="00000000" w:rsidRPr="00000000" w14:paraId="000000C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igualdad;</w:t>
      </w:r>
    </w:p>
    <w:p w:rsidR="00000000" w:rsidDel="00000000" w:rsidP="00000000" w:rsidRDefault="00000000" w:rsidRPr="00000000" w14:paraId="000000C2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ljd2uuchkc9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IM-005 — Coherencia Relacional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publicada deberá ser coherente con el estado actual y el estado objetivo que relaciona.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que representen transformaciones incompatibles con dichos estados.</w:t>
      </w:r>
    </w:p>
    <w:p w:rsidR="00000000" w:rsidDel="00000000" w:rsidP="00000000" w:rsidRDefault="00000000" w:rsidRPr="00000000" w14:paraId="000000C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m27khp6k3br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Regla oficial de coherencia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cada instrumento perteneciente a la unión de ambos estados: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quantity_delta = target_quantity − current_quantity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cada moneda perteneciente a la unión de ambos estados: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amount_delta = target_amount − current_amount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r9fa36mm955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Identidades ausentes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 instrumento o una moneda no exista en uno de los estados, se interpretará como cantidad o importe igual a cero exclusivamente para verificar la coherencia relacional. 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pvz81ah0nk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Exhaustividad</w:t>
      </w:r>
    </w:p>
    <w:p w:rsidR="00000000" w:rsidDel="00000000" w:rsidP="00000000" w:rsidRDefault="00000000" w:rsidRPr="00000000" w14:paraId="000000D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Una transición válida deberá contener exactamente todos los cambios materiales entre ambos estados.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Redundancia </w:t>
      </w:r>
    </w:p>
    <w:p w:rsidR="00000000" w:rsidDel="00000000" w:rsidP="00000000" w:rsidRDefault="00000000" w:rsidRPr="00000000" w14:paraId="000000D4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No se admitirán:</w:t>
      </w:r>
    </w:p>
    <w:p w:rsidR="00000000" w:rsidDel="00000000" w:rsidP="00000000" w:rsidRDefault="00000000" w:rsidRPr="00000000" w14:paraId="000000D5">
      <w:pPr>
        <w:numPr>
          <w:ilvl w:val="0"/>
          <w:numId w:val="16"/>
        </w:numPr>
        <w:spacing w:after="0" w:afterAutospacing="0" w:before="240" w:lineRule="auto"/>
        <w:ind w:left="1440" w:hanging="360"/>
      </w:pPr>
      <w:r w:rsidDel="00000000" w:rsidR="00000000" w:rsidRPr="00000000">
        <w:rPr>
          <w:rtl w:val="0"/>
        </w:rPr>
        <w:t xml:space="preserve">deltas iguales a cero;</w:t>
      </w:r>
    </w:p>
    <w:p w:rsidR="00000000" w:rsidDel="00000000" w:rsidP="00000000" w:rsidRDefault="00000000" w:rsidRPr="00000000" w14:paraId="000000D6">
      <w:pPr>
        <w:numPr>
          <w:ilvl w:val="0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componentes incompatibles con la diferencia entre estados;</w:t>
      </w:r>
    </w:p>
    <w:p w:rsidR="00000000" w:rsidDel="00000000" w:rsidP="00000000" w:rsidRDefault="00000000" w:rsidRPr="00000000" w14:paraId="000000D7">
      <w:pPr>
        <w:numPr>
          <w:ilvl w:val="0"/>
          <w:numId w:val="1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componentes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nfl9z4lrlsc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Estados equivalentes</w:t>
      </w:r>
    </w:p>
    <w:p w:rsidR="00000000" w:rsidDel="00000000" w:rsidP="00000000" w:rsidRDefault="00000000" w:rsidRPr="00000000" w14:paraId="000000D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ab/>
        <w:t xml:space="preserve">Cuando ambos PortfolioState sean semánticamente equivalentes, no existirá una transición material y PortfolioTransition no podrá construirse.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tknvlnbo4pj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IM-006 — Reproducibilidad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realidad del dominio deberá producir siempre el mismo contrato semántico.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reproducible no dependerá del mecanismo utilizado para construir la transición.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wccafh80ixa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Validaciones Estructurales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deberá garantizar como mínimo las siguientes validaciones.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czp3os3ajy2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VE-001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autorizada deberá existir.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incompletos.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ritj92eh85t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VE-002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públicas correspondientes al estado actual y al estado objetivo deberán ser arquitectónicamente válidas.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hk7y4qtf5z2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VE-003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deberá ser coherente con los estados que relaciona.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podrá verificar matemáticamente la coherencia entre ambos estados y las transformaciones declaradas.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validación no autoriza generar automáticamente la transición ni completar componentes ausentes.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relaciones arquitectónicamente imposibles.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0xs25u16wem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VE-004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deberá representar exactamente una única transformación autorizada.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transformaciones contradictorias dentro del mismo activo.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3kpfda179y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VE-005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representación de la transformación deberá cumplir las invariantes definidas por DOC-033.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y15a9ofxqi0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Compatibilidad del Modelo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preservar completamente la compatibilidad arquitectónica con:</w:t>
      </w:r>
    </w:p>
    <w:p w:rsidR="00000000" w:rsidDel="00000000" w:rsidP="00000000" w:rsidRDefault="00000000" w:rsidRPr="00000000" w14:paraId="000000F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DOC-033;</w:t>
      </w:r>
    </w:p>
    <w:p w:rsidR="00000000" w:rsidDel="00000000" w:rsidP="00000000" w:rsidRDefault="00000000" w:rsidRPr="00000000" w14:paraId="000000F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PortfolioState;</w:t>
      </w:r>
    </w:p>
    <w:p w:rsidR="00000000" w:rsidDel="00000000" w:rsidP="00000000" w:rsidRDefault="00000000" w:rsidRPr="00000000" w14:paraId="000000F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InstrumentReference;</w:t>
      </w:r>
    </w:p>
    <w:p w:rsidR="00000000" w:rsidDel="00000000" w:rsidP="00000000" w:rsidRDefault="00000000" w:rsidRPr="00000000" w14:paraId="000000F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CurrencyReference.</w:t>
      </w:r>
    </w:p>
    <w:p w:rsidR="00000000" w:rsidDel="00000000" w:rsidP="00000000" w:rsidRDefault="00000000" w:rsidRPr="00000000" w14:paraId="000000FF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reutilizará directamente dichos contratos públicos.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wrappers, adaptadores ni representaciones alternativas.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introducir dependencias adicionales.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modificar contratos públicos existentes.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esw071v0s7b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Estrategia de Pruebas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aceptación del presente incremento requerirá evidencia objetiva de las siguientes propiedades.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f02mxjryijx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EP-001 — Construcción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contrato público puede construirse correctamente cuando se satisfacen todas las precondiciones arquitectónicas.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otc5cngvq9w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EP-002 — Inmutabilidad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contrato no admite modificaciones posteriores a su construcción.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tnhfyimtunl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EP-003 — Igualdad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dos contratos arquitectónicamente equivalentes producen igualdad semántica.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8hnp5jajjj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EP-004 — Hash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consistencia entre identidad, igualdad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rmek3jgucz8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EP-005 — Trazabilidad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preservación íntegra de las referencias arquitectónicas consumidas.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0cjkn1hj2po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EP-006 — Coherencia Relacional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la transformación publicada permanece coherente con el estado actual y el estado objetivo representados.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ker3lzf3wc8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EP-007 — Reproducibilidad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la misma realidad del dominio produce exactamente el mismo contrato.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0jvmsuk4kim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EP-008 — Fronteras Arquitectónicas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incremento mantiene la separación arquitectónica respecto de:</w:t>
      </w:r>
    </w:p>
    <w:p w:rsidR="00000000" w:rsidDel="00000000" w:rsidP="00000000" w:rsidRDefault="00000000" w:rsidRPr="00000000" w14:paraId="0000011F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20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qb7sj4cc647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EP-009 — Compatibilidad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incremento:</w:t>
      </w:r>
    </w:p>
    <w:p w:rsidR="00000000" w:rsidDel="00000000" w:rsidP="00000000" w:rsidRDefault="00000000" w:rsidRPr="00000000" w14:paraId="0000012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modifica contratos públicos existentes;</w:t>
      </w:r>
    </w:p>
    <w:p w:rsidR="00000000" w:rsidDel="00000000" w:rsidP="00000000" w:rsidRDefault="00000000" w:rsidRPr="00000000" w14:paraId="0000012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 íntegramente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 íntegramente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introduce dependencias arquitectónicas adicionales.</w:t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isqfp819uko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EP-010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ecuación oficial de coherencia relacional.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tap6ru1nhw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EP-011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la implementación verifica la coherencia sin generar automáticamente una transición.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