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iikqszjs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DOC-030 — Capability Architecture Standard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sw3cgvta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n1f6ig0d0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DOC-028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Capability Architecture Standard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Estándar de Arquitectura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 — Gobierno Documental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DOC-014 — Estándares de Desarrollo de Software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52qwmcb6o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estándar arquitectónico oficial para el diseño de las Capabilities que conforman TramitaGO Quant Platform.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establecer un lenguaje arquitectónico común, definir los principios que gobiernan la construcción de nuevas Capabilities y proporcionar criterios objetivos para identificar responsabilidades, establecer fronteras arquitectónicas y organizar la evolución incremental del sistema.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describe una Capability concreta.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modelo arquitectónico que deberán seguir todas las Capabilities del proyecto, independientemente del dominio funcional al que pertenezcan.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4dsaoucig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 toda nueva Capability incorporada al sistema, así como a la evolución de Capabilities existentes cuando introduzcan nuevas responsabilidades arquitectónicas.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regula: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proceso de ingeniería (DOC-017);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de una Capability concreta (IT);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funcional global del sistema;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planificación del proyecto.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ámbito se limita al diseño interno de una Capability y a la definición de sus componentes arquitectónicos.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kyi19y46o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 Arquitectónicos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Capability desarrollada para TramitaGO Quant Platform deberá respetar los siguientes principios.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x6j3ab1da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PA-001 — Responsabilidad única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Capability deberá encapsular una única responsabilidad funcional claramente identificable.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Capability nunca estará justificada por el volumen de código, la complejidad técnica o la conveniencia de organización del repositorio.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e7yqoqya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PA-002 — Cohesión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componentes internos de una Capability deberán colaborar para cumplir la responsabilidad que define dicha Capability.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Capability no deberá incorporar responsabilidades pertenecientes a otra Capability.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dvdjne7f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PA-003 — Frontera arquitectónica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Capability constituye una frontera arquitectónica estable.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demás Capabilities deberán interactuar exclusivamente mediante los contratos públicos definidos por dicha frontera.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interna permanecerá encapsulada.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lf2fq0vnq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PA-004 — Evolución independiente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Capability deberá poder evolucionar mediante incrementos arquitectónicamente coherentes sin requerir modificaciones sistemáticas en otras Capabilities.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ya9p9grxi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PA-005 — Independencia de implementación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una Capability se definirá mediante responsabilidades y contratos.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dependerá de un lenguaje de programación, un framework, una base de datos o una herramienta concreta.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slkcri65h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PA-006 — Contratos antes que implementación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Capabilities deberá apoyarse en contratos públicos estables.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constituyen la frontera oficial de consumo.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interna podrá evolucionar mientras preserve dichos contratos.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zy4nr4nuz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PA-007 — Componentes por responsabilidad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componentes arquitectónicos existirán únicamente cuando aporten una responsabilidad claramente diferenciada.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introducirse componentes por simetría, conveniencia estética o uniformidad artificial.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i889x5015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PA-008 — Incrementalidad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Capability evolucionará mediante incrementos arquitectónicos completos.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incremento deberá incorporar exactamente una nueva responsabilidad arquitectónica identificable.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433i4fcrw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PA-009 — Verificabilidad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responsabilidad deberá poder implementarse, probarse, auditarse e integrarse de forma independiente.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que no pueda verificarse de manera autónoma no deberá constituir un incremento independiente.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mdrw8beg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PA-010 — Evidencia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patrones arquitectónicos al estándar requerirá evidencia obtenida durante el desarrollo del proyecto.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hipotéticos o no validados permanecerán fuera del estándar hasta acumular suficiente experiencia.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ltl6pk3eh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Definición formal de Capability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Capability</w:t>
      </w:r>
      <w:r w:rsidDel="00000000" w:rsidR="00000000" w:rsidRPr="00000000">
        <w:rPr>
          <w:rtl w:val="0"/>
        </w:rPr>
        <w:t xml:space="preserve"> es la unidad arquitectónica fundamental de TramitaGO Quant Platform.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Capability encapsula una responsabilidad funcional única, define una frontera arquitectónica estable y proporciona los elementos necesarios para que dicha responsabilidad pueda evolucionar de forma independiente mediante incrementos coherentes.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Capability podrá contener múltiples componentes arquitectónicos, pero todos ellos deberán contribuir exclusivamente al cumplimiento de la responsabilidad que la identifica.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física de una Capability (paquetes, módulos, directorios o archivos) constituye una decisión de implementación y no forma parte de su definición arquitectónica.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2607zeg9y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Observación del Arquitecto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detenerme aquí porque creo que este primer ciclo ya deja clara una diferencia muy importante respecto a otros documentos del proyecto.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DOC-017 define cómo desarrollamos software.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DOC-028 empieza definiendo qué entendemos por una unidad arquitectónica del sistema.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dos niveles distintos y complementarios.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esa definición existía de forma implícita, distribuida entre DOC-021, DOC-024, DOC-027 y sus respectivos IT. Con este documento pasa a convertirse en un concepto explícito y reutilizable para cualquier Capability futura.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