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0f8w8o7g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IT-027-001 — Strategy Domain Model MVP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Implementación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1.0 </w:t>
        <w:br w:type="textWrapping"/>
        <w:t xml:space="preserve">Estado: Normativo / Aprobado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Implementa:</w:t>
      </w:r>
      <w:r w:rsidDel="00000000" w:rsidR="00000000" w:rsidRPr="00000000">
        <w:rPr>
          <w:rtl w:val="0"/>
        </w:rPr>
        <w:t xml:space="preserve"> DOC-027 — Strategy Evaluation Capability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c5w8xsyh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modelo de dominio canónico de la </w:t>
      </w:r>
      <w:r w:rsidDel="00000000" w:rsidR="00000000" w:rsidRPr="00000000">
        <w:rPr>
          <w:b w:val="1"/>
          <w:bCs w:val="1"/>
          <w:rtl w:val="0"/>
        </w:rPr>
        <w:t xml:space="preserve">Strategy Evaluation Capability</w:t>
      </w:r>
      <w:r w:rsidDel="00000000" w:rsidR="00000000" w:rsidRPr="00000000">
        <w:rPr>
          <w:rtl w:val="0"/>
        </w:rPr>
        <w:t xml:space="preserve">, proporcionando las entidades, objetos de valor, invariantes y excepciones necesarias para representar formalmente una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establece la base del dominio sin incorporar lógica de aplicación, infraestructura, persistencia ni contratos públicos.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fxbacc6w2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implementa exclusivamente el modelo de dominio.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del dominio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invariantes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del dominio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ihohcsn6o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Fuera de Alcance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implementa: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motores de evaluación;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métricas;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públicas;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Knowledge;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Research;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Data;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estrategias.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incrementos posteriores.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qpi34utoc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Modelo del Dominio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xxv7m62z8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Entity — Strategy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especificación formal e inmutable de una metodología de inversión.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define </w:t>
      </w:r>
      <w:r w:rsidDel="00000000" w:rsidR="00000000" w:rsidRPr="00000000">
        <w:rPr>
          <w:b w:val="1"/>
          <w:bCs w:val="1"/>
          <w:rtl w:val="0"/>
        </w:rPr>
        <w:t xml:space="preserve">qué pretende hacer</w:t>
      </w:r>
      <w:r w:rsidDel="00000000" w:rsidR="00000000" w:rsidRPr="00000000">
        <w:rPr>
          <w:rtl w:val="0"/>
        </w:rPr>
        <w:t xml:space="preserve"> una metodología de inversión.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resultados de evaluación.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conocimiento.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métricas.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estado operacional.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vmtlsbz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la identidad de la estrategia.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sus reglas y parámetros.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consistencia de su definición.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inmutable una vez publicada.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wrk2en1oa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Entity — StrategyEvaluation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evaluación formal de una Strategy bajo un contexto determinado utilizando una versión explícita del conocimiento.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omznr49w0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la identidad de la evaluación.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una Strategy con un EvaluationContext.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la versión de Knowledge utilizada.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el resultado de la evaluación.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trazabilidad completa.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z2hds2ic4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Value Object — EvaluationContext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las condiciones bajo las cuales se realiza una evaluación.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representar conceptualmente: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de evaluación;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universo de activos;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horizonte temporal;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régimen de mercado;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relevantes.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EvaluationContext con los mismos valores representan exactamente el mismo contexto.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aglq31tyb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Value Object — EvaluationCriteria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los criterios utilizados para caracterizar una Strategy.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identidad propia.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completamente inmutable.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implementación concreta se ampliará en incrementos posteriores.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0c6pujsev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Invariantes del Dominio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garantizar, como mínimo, las siguientes invariantes: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muvii42w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 identidad única;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existir sin definición válida;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mantiene estado operacional;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de Knowledge;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de Data;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de infraestructura.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1pseps0q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StrategyEvaluation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 exactamente una Strategy;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exactamente un EvaluationContext;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exactamente una versión de Knowledge;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una única evaluación;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completamente trazable;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inmutable una vez publicada.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3ps6phjxe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EvaluationContext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completamente inmutable;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igualdad depende exclusivamente de sus valores.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d5hmkvrdk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EvaluationCriteria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completamente inmutable;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posee identidad.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wy1uklfhh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Excepciones del Dominio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definir excepciones específicas para representar violaciones de invariantes.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existir excepciones para: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inválida.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EvaluationContext inválido.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 inconsistente.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EvaluationCriteria inválido.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implementaciones concretas podrán extender este conjunto sin modificar el contrato del dominio.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gjz8mtjzp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Arquitectura Esperada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strategy_evaluation/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entities/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  ├── strategy.py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  └── strategy_evaluation.py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value_objects/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  ├── evaluation_context.py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  └── evaluation_criteria.py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exceptions.py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└── unit/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└── domain/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5rrscmo5t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únicamente depende de las capas comunes del dominio.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de: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permanecer completamente aislado.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w5sw2hb0c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Aceptación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 considerará finalizado cuando: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Existan las entidades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Existan los Value Objects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invariantes del dominio estén protegidas.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entidades no dependan de infraestructura ni de otros dominios.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Value Objects sean inmutables.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Existan pruebas unitarias para todas las entidades y objetos de valor.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unitarias sean satisfactorias.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quede preparado para soportar los siguientes incrementos sin modificaciones estructurales.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3kufb7vd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con Incrementos Posteriores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proporciona el modelo de dominio canónico utilizado por los incrementos posteriores de la Strategy Evaluation Capability.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normativa vigente es: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IT-027-002 — Strategy Evaluation Process MVP</w:t>
        <w:br w:type="textWrapping"/>
      </w:r>
      <w:r w:rsidDel="00000000" w:rsidR="00000000" w:rsidRPr="00000000">
        <w:rPr>
          <w:rtl w:val="0"/>
        </w:rPr>
        <w:t xml:space="preserve"> Implementa la producción, registro y consulta interna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mediante un proceso desacoplado y reproducible.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IT-027-003 — Strategy Evaluation Comparison MVP</w:t>
        <w:br w:type="textWrapping"/>
      </w:r>
      <w:r w:rsidDel="00000000" w:rsidR="00000000" w:rsidRPr="00000000">
        <w:rPr>
          <w:rtl w:val="0"/>
        </w:rPr>
        <w:t xml:space="preserve"> Implementará la comparación objetiva y reproducible entre dos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compatibles, sin producir rankings, recomendaciones ni decisiones operativas.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IT-027-004 — Strategy Evaluation Publication MVP</w:t>
        <w:br w:type="textWrapping"/>
      </w:r>
      <w:r w:rsidDel="00000000" w:rsidR="00000000" w:rsidRPr="00000000">
        <w:rPr>
          <w:rtl w:val="0"/>
        </w:rPr>
        <w:t xml:space="preserve"> Implementará la frontera pública de solo lectura para consumo controlado por dominios posteriores.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IT-027-005 — Strategy Evaluation Lifecycle MVP</w:t>
        <w:br w:type="textWrapping"/>
      </w:r>
      <w:r w:rsidDel="00000000" w:rsidR="00000000" w:rsidRPr="00000000">
        <w:rPr>
          <w:rtl w:val="0"/>
        </w:rPr>
        <w:t xml:space="preserve"> Implementará, únicamente cuando exista evidencia suficiente, las reglas de estado, publicación, sustitución o retiro aplicables a los activos del dominio.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secuencia sustituye la planificación preliminar que separaba Engine, Repository y Access. Dichas responsabilidades quedaron integradas de manera coherente dentro de IT-027-002 y no deberán volver a implementarse como incrementos independientes.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vz81dzl6e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crítica antes de darlo por terminado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mejora metodológica que considero importante incorporar a partir de este dominio.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nuestros IT describen </w:t>
      </w:r>
      <w:r w:rsidDel="00000000" w:rsidR="00000000" w:rsidRPr="00000000">
        <w:rPr>
          <w:b w:val="1"/>
          <w:bCs w:val="1"/>
          <w:rtl w:val="0"/>
        </w:rPr>
        <w:t xml:space="preserve">qué implementar</w:t>
      </w:r>
      <w:r w:rsidDel="00000000" w:rsidR="00000000" w:rsidRPr="00000000">
        <w:rPr>
          <w:rtl w:val="0"/>
        </w:rPr>
        <w:t xml:space="preserve">, pero no siempre dejan explícito </w:t>
      </w:r>
      <w:r w:rsidDel="00000000" w:rsidR="00000000" w:rsidRPr="00000000">
        <w:rPr>
          <w:b w:val="1"/>
          <w:bCs w:val="1"/>
          <w:rtl w:val="0"/>
        </w:rPr>
        <w:t xml:space="preserve">qué artefactos de código constituyen la evidencia de que el incremento está terminado</w:t>
      </w:r>
      <w:r w:rsidDel="00000000" w:rsidR="00000000" w:rsidRPr="00000000">
        <w:rPr>
          <w:rtl w:val="0"/>
        </w:rPr>
        <w:t xml:space="preserve">. Propongo añadir una sección estándar en todos los IT futuros: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tbgai1ikq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Evidencias Esperadas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enumeraría los entregables verificables, por ejemplo: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directorios creada.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del dominio implementadas.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públicas definidas (cuando aplique).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implementadas.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mínima requerida (si el proyecto adopta un umbral).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calidad (linting, type checking, etc., según los estándares del proyecto).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