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IT-027-002 — Strategy Evaluation Process MVP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2f5597"/>
          <w:sz w:val="26"/>
          <w:szCs w:val="26"/>
          <w:rtl w:val="0"/>
        </w:rPr>
        <w:t xml:space="preserve">TramitaGO Quant Platform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68"/>
        <w:gridCol w:w="4968"/>
        <w:tblGridChange w:id="0">
          <w:tblGrid>
            <w:gridCol w:w="4968"/>
            <w:gridCol w:w="49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IT-027-002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Strategy Evaluation Process 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Normativo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Implementation Target (IT)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Dominio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Strategy Evaluation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Evaluación de estrategias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IT-027-001 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DOC-001, DOC-002, DOC-003, DOC-004, DOC-017, DOC-020, DOC-026, DOC-027, IT-026-005 — Knowledge Consumption Access MVP IT-026-007 — Knowledge Version Resolution MVP IT-027-001 — Strategy Domain Model MVP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1. Propósito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Implementar la capacidad mínima y completa mediante la cual el dominio Strategy Evaluation produce una StrategyEvaluation válida, inmutable, reproducible y trazable a partir de una Strategy, un EvaluationContext, unos EvaluationCriteria y una versión explícita de Knowledge publicada por la frontera pública del dominio Knowledge.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Este incremento convierte el modelo de dominio introducido por IT-027-001 en una capacidad operativa interna. No construye todavía un motor cuantitativo completo ni interpreta directamente el contenido de Knowledge; establece el proceso estable mediante el cual una evaluación puede solicitarse, calcularse mediante un contrato desacoplado y registrarse como activo del dominio.</w:t>
      </w:r>
    </w:p>
    <w:p w:rsidR="00000000" w:rsidDel="00000000" w:rsidP="00000000" w:rsidRDefault="00000000" w:rsidRPr="00000000" w14:paraId="00000018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2. Pregunta arquitectónica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Este IT responde la siguiente pregunta:</w:t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¿Cómo puede TramitaGO producir y conservar una StrategyEvaluation sin acoplar el dominio a Knowledge, a un algoritmo cuantitativo concreto ni a los dominios operativos posteriores?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La respuesta arquitectónica es:</w:t>
      </w:r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Strategy + EvaluationContext + EvaluationCriteria</w:t>
        <w:br w:type="textWrapping"/>
        <w:t xml:space="preserve">+ referencia publicada (knowledge_id, knowledge_version)</w:t>
        <w:br w:type="textWrapping"/>
        <w:t xml:space="preserve">        ↓</w:t>
        <w:br w:type="textWrapping"/>
        <w:t xml:space="preserve">StrategyEvaluationService</w:t>
        <w:br w:type="textWrapping"/>
        <w:t xml:space="preserve">        ↓</w:t>
        <w:br w:type="textWrapping"/>
        <w:t xml:space="preserve">StrategyEvaluator (contrato)</w:t>
        <w:br w:type="textWrapping"/>
        <w:t xml:space="preserve">        ↓</w:t>
        <w:br w:type="textWrapping"/>
        <w:t xml:space="preserve">resultado inmutable</w:t>
        <w:br w:type="textWrapping"/>
        <w:t xml:space="preserve">        ↓</w:t>
        <w:br w:type="textWrapping"/>
        <w:t xml:space="preserve">StrategyEvaluationRegistry</w:t>
        <w:br w:type="textWrapping"/>
        <w:t xml:space="preserve">        ↓</w:t>
        <w:br w:type="textWrapping"/>
        <w:t xml:space="preserve">StrategyEvaluation</w:t>
      </w:r>
    </w:p>
    <w:p w:rsidR="00000000" w:rsidDel="00000000" w:rsidP="00000000" w:rsidRDefault="00000000" w:rsidRPr="00000000" w14:paraId="0000001D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3. Objetivo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Validar que todas las entradas necesarias para una evaluación sean explícitas y coherentes.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Resolver la referencia exacta de Knowledge exclusivamente mediante KnowledgeConsumptionAccess.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Delegar el cálculo de la evaluación a un contrato reemplazable, sin fijar todavía un algoritmo cuantitativo.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Construir una StrategyEvaluation utilizando el modelo canónico de IT-027-001.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Registrar la evaluación como un activo independiente e inmutable.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Permitir su recuperación interna sin publicar todavía una frontera para otros dominios.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Preservar trazabilidad completa hacia Strategy, EvaluationContext, EvaluationCriteria y la versión de Knowledge utilizada.</w:t>
      </w:r>
    </w:p>
    <w:p w:rsidR="00000000" w:rsidDel="00000000" w:rsidP="00000000" w:rsidRDefault="00000000" w:rsidRPr="00000000" w14:paraId="00000025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4. Alcance</w:t>
      </w:r>
    </w:p>
    <w:p w:rsidR="00000000" w:rsidDel="00000000" w:rsidP="00000000" w:rsidRDefault="00000000" w:rsidRPr="00000000" w14:paraId="00000026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4.1 Incluido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StrategyEvaluationService como orquestador del caso de uso.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StrategyEvaluator como contrato mínimo para producir el resultado de evaluación.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StrategyEvaluationRegistry para registro interno y control de unicidad.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StrategyEvaluationAccess para consulta interna de solo lectura.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Validación de existencia y coincidencia exacta de (knowledge_id, knowledge_version) mediante la frontera pública de Knowledge.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Creación y registro atómico de StrategyEvaluation.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Excepciones específicas para referencias inexistentes, duplicidad y fallo de cálculo.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Pruebas unitarias completas del proceso y de sus fronteras.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Una demostración reproducible con implementaciones en memoria o dobles de prueba.</w:t>
      </w:r>
    </w:p>
    <w:p w:rsidR="00000000" w:rsidDel="00000000" w:rsidP="00000000" w:rsidRDefault="00000000" w:rsidRPr="00000000" w14:paraId="00000030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4.2 Fuera de alcance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Backtesting y simulación histórica.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Cálculo de indicadores, señales, retornos, drawdown, Sharpe u otras métricas financieras concretas.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Comparación, ranking o selección entre estrategias.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Optimización de parámetros o búsqueda de hiperparámetros.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Persistencia en archivos, bases de datos, nube u otros mecanismos externos.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Publicación de StrategyEvaluation para Risk Management, Portfolio Management o Execution.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Gestión de riesgo, construcción de portafolios, órdenes o trading real.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Interpretación semántica de Knowledge.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Actualización, evolución o modificación de Knowledge.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Automatización, ejecución periódica, colas, procesos asíncronos o CI/CD.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Nuevas dependencias de terceros.</w:t>
      </w:r>
    </w:p>
    <w:p w:rsidR="00000000" w:rsidDel="00000000" w:rsidP="00000000" w:rsidRDefault="00000000" w:rsidRPr="00000000" w14:paraId="0000003C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5. Principios normativos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P1. Solución mínima técnicamente completa.</w:t>
      </w:r>
      <w:r w:rsidDel="00000000" w:rsidR="00000000" w:rsidRPr="00000000">
        <w:rPr>
          <w:rtl w:val="0"/>
        </w:rPr>
        <w:t xml:space="preserve"> El incremento implementará un único caso de uso cerrado: producir y registrar una evaluación. No incorporará capacidades posteriores.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bCs w:val="1"/>
          <w:rtl w:val="0"/>
        </w:rPr>
        <w:t xml:space="preserve">P2. La evaluación es un activo independiente.</w:t>
      </w:r>
      <w:r w:rsidDel="00000000" w:rsidR="00000000" w:rsidRPr="00000000">
        <w:rPr>
          <w:rtl w:val="0"/>
        </w:rPr>
        <w:t xml:space="preserve"> StrategyEvaluation no forma parte de Strategy ni de Knowledge y no modifica ninguno de ellos.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1"/>
          <w:bCs w:val="1"/>
          <w:rtl w:val="0"/>
        </w:rPr>
        <w:t xml:space="preserve">P3. Knowledge se consume por su frontera pública.</w:t>
      </w:r>
      <w:r w:rsidDel="00000000" w:rsidR="00000000" w:rsidRPr="00000000">
        <w:rPr>
          <w:rtl w:val="0"/>
        </w:rPr>
        <w:t xml:space="preserve"> El dominio Strategy Evaluation solo podrá consultar Knowledge mediante KnowledgeConsumptionAccess. Queda prohibido acceder a registries, services o entidades internas de Knowledge.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P4. El algoritmo es reemplazable.</w:t>
      </w:r>
      <w:r w:rsidDel="00000000" w:rsidR="00000000" w:rsidRPr="00000000">
        <w:rPr>
          <w:rtl w:val="0"/>
        </w:rPr>
        <w:t xml:space="preserve"> StrategyEvaluationService no contendrá lógica cuantitativa específica. Toda producción del resultado se delegará al contrato StrategyEvaluator.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bCs w:val="1"/>
          <w:rtl w:val="0"/>
        </w:rPr>
        <w:t xml:space="preserve">P5. El resultado siempre es explícito.</w:t>
      </w:r>
      <w:r w:rsidDel="00000000" w:rsidR="00000000" w:rsidRPr="00000000">
        <w:rPr>
          <w:rtl w:val="0"/>
        </w:rPr>
        <w:t xml:space="preserve"> Toda evaluación deberá conservar el resultado retornado por el evaluator, después de validarlo y congelarlo mediante el modelo de dominio existente.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rtl w:val="0"/>
        </w:rPr>
        <w:t xml:space="preserve">P6. Las entradas permanecen inmutables.</w:t>
      </w:r>
      <w:r w:rsidDel="00000000" w:rsidR="00000000" w:rsidRPr="00000000">
        <w:rPr>
          <w:rtl w:val="0"/>
        </w:rPr>
        <w:t xml:space="preserve"> Ninguna operación podrá modificar Strategy, EvaluationContext, EvaluationCriteria, Knowledge ni estructuras mutables suministradas por el llamador.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P7. La trazabilidad precede a la sofisticación.</w:t>
      </w:r>
      <w:r w:rsidDel="00000000" w:rsidR="00000000" w:rsidRPr="00000000">
        <w:rPr>
          <w:rtl w:val="0"/>
        </w:rPr>
        <w:t xml:space="preserve"> El MVP prioriza poder demostrar qué se evaluó, con qué contexto, criterios y Knowledge, antes de incorporar métricas o algoritmos avanzados.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P8. Fallar es preferible a producir evidencia ambigua.</w:t>
      </w:r>
      <w:r w:rsidDel="00000000" w:rsidR="00000000" w:rsidRPr="00000000">
        <w:rPr>
          <w:rtl w:val="0"/>
        </w:rPr>
        <w:t xml:space="preserve"> Si una referencia no puede validarse, el evaluator falla o el resultado es inválido, no se registrará ninguna StrategyEvaluation.</w:t>
      </w:r>
    </w:p>
    <w:p w:rsidR="00000000" w:rsidDel="00000000" w:rsidP="00000000" w:rsidRDefault="00000000" w:rsidRPr="00000000" w14:paraId="00000045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6. Modelo conceptual</w:t>
      </w:r>
    </w:p>
    <w:p w:rsidR="00000000" w:rsidDel="00000000" w:rsidP="00000000" w:rsidRDefault="00000000" w:rsidRPr="00000000" w14:paraId="00000046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KnowledgeConsumptionAccess</w:t>
        <w:br w:type="textWrapping"/>
        <w:t xml:space="preserve">        │</w:t>
        <w:br w:type="textWrapping"/>
        <w:t xml:space="preserve">        │ resolve(knowledge_id, knowledge_version)</w:t>
        <w:br w:type="textWrapping"/>
        <w:t xml:space="preserve">        ▼</w:t>
        <w:br w:type="textWrapping"/>
        <w:t xml:space="preserve">StrategyEvaluationService</w:t>
        <w:br w:type="textWrapping"/>
        <w:t xml:space="preserve">        │</w:t>
        <w:br w:type="textWrapping"/>
        <w:t xml:space="preserve">        ├── Strategy</w:t>
        <w:br w:type="textWrapping"/>
        <w:t xml:space="preserve">        ├── EvaluationContext</w:t>
        <w:br w:type="textWrapping"/>
        <w:t xml:space="preserve">        ├── EvaluationCriteria</w:t>
        <w:br w:type="textWrapping"/>
        <w:t xml:space="preserve">        └── StrategyEvaluator</w:t>
        <w:br w:type="textWrapping"/>
        <w:t xml:space="preserve">                 │</w:t>
        <w:br w:type="textWrapping"/>
        <w:t xml:space="preserve">                 ▼</w:t>
        <w:br w:type="textWrapping"/>
        <w:t xml:space="preserve">          Evaluation Result</w:t>
        <w:br w:type="textWrapping"/>
        <w:t xml:space="preserve">                 │</w:t>
        <w:br w:type="textWrapping"/>
        <w:t xml:space="preserve">                 ▼</w:t>
        <w:br w:type="textWrapping"/>
        <w:t xml:space="preserve">      StrategyEvaluationRegistry</w:t>
        <w:br w:type="textWrapping"/>
        <w:t xml:space="preserve">                 │</w:t>
        <w:br w:type="textWrapping"/>
        <w:t xml:space="preserve">                 ▼</w:t>
        <w:br w:type="textWrapping"/>
        <w:t xml:space="preserve">          StrategyEvaluation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IT-027-002 no introduce una nueva entidad de negocio. Utiliza y coordina los artefactos canónicos definidos por IT-027-001.</w:t>
      </w:r>
    </w:p>
    <w:p w:rsidR="00000000" w:rsidDel="00000000" w:rsidP="00000000" w:rsidRDefault="00000000" w:rsidRPr="00000000" w14:paraId="00000048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7. Entradas y salida</w:t>
      </w:r>
    </w:p>
    <w:p w:rsidR="00000000" w:rsidDel="00000000" w:rsidP="00000000" w:rsidRDefault="00000000" w:rsidRPr="00000000" w14:paraId="00000049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7.1 Entradas obligatorias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evaluation_id: identidad única propuesta para la evaluación.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strategy: instancia válida de Strategy.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context: instancia válida de EvaluationContext.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criteria: instancia válida de EvaluationCriteria.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knowledge_id: identificador opaco y no vacío del Knowledge publicado.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knowledge_version: versión opaca, no vacía y exacta del Knowledge publicado.</w:t>
      </w:r>
    </w:p>
    <w:p w:rsidR="00000000" w:rsidDel="00000000" w:rsidP="00000000" w:rsidRDefault="00000000" w:rsidRPr="00000000" w14:paraId="00000050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7.2 Salida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La única salida de dominio será una instancia registrada de StrategyEvaluation con los campos definidos por IT-027-001. El servicio deberá retornar exactamente la instancia que fue aceptada por el registro.</w:t>
      </w:r>
    </w:p>
    <w:p w:rsidR="00000000" w:rsidDel="00000000" w:rsidP="00000000" w:rsidRDefault="00000000" w:rsidRPr="00000000" w14:paraId="00000052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7.3 Resultado de evaluación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El resultado será producido por StrategyEvaluator como un Mapping no vacío. IT-027-002 no prescribe sus claves financieras. El resultado deberá ser determinista respecto de las entradas observables del evaluator y compatible con las validaciones de StrategyEvaluation.</w:t>
      </w:r>
    </w:p>
    <w:p w:rsidR="00000000" w:rsidDel="00000000" w:rsidP="00000000" w:rsidRDefault="00000000" w:rsidRPr="00000000" w14:paraId="00000054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8. Contratos requeridos</w:t>
      </w:r>
    </w:p>
    <w:p w:rsidR="00000000" w:rsidDel="00000000" w:rsidP="00000000" w:rsidRDefault="00000000" w:rsidRPr="00000000" w14:paraId="00000055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8.1 StrategyEvaluator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Contrato de cálculo reemplazable. Su responsabilidad exclusiva es producir el resultado de evaluación.</w:t>
      </w:r>
    </w:p>
    <w:p w:rsidR="00000000" w:rsidDel="00000000" w:rsidP="00000000" w:rsidRDefault="00000000" w:rsidRPr="00000000" w14:paraId="0000005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class StrategyEvaluator(Protocol):</w:t>
        <w:br w:type="textWrapping"/>
        <w:t xml:space="preserve">    def evaluate(</w:t>
        <w:br w:type="textWrapping"/>
        <w:t xml:space="preserve">        self,</w:t>
        <w:br w:type="textWrapping"/>
        <w:t xml:space="preserve">        *,</w:t>
        <w:br w:type="textWrapping"/>
        <w:t xml:space="preserve">        strategy: Strategy,</w:t>
        <w:br w:type="textWrapping"/>
        <w:t xml:space="preserve">        context: EvaluationContext,</w:t>
        <w:br w:type="textWrapping"/>
        <w:t xml:space="preserve">        criteria: EvaluationCriteria,</w:t>
        <w:br w:type="textWrapping"/>
        <w:t xml:space="preserve">        knowledge: object,</w:t>
        <w:br w:type="textWrapping"/>
        <w:t xml:space="preserve">    ) -&gt; Mapping[str, Any]: ...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registra evaluaciones.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genera evaluation_id.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consulta registries.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modifica entradas.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toma decisiones operativas.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representación exacta del objeto publicado por Knowledge deberá reutilizar el contrato vigente de KnowledgeConsumptionAccess; no se duplicará su modelo.</w:t>
      </w:r>
    </w:p>
    <w:p w:rsidR="00000000" w:rsidDel="00000000" w:rsidP="00000000" w:rsidRDefault="00000000" w:rsidRPr="00000000" w14:paraId="0000005E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8.2 StrategyEvaluationRegistry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Contrato interno responsable de registrar y recuperar evaluaciones dentro del dominio.</w:t>
      </w:r>
    </w:p>
    <w:p w:rsidR="00000000" w:rsidDel="00000000" w:rsidP="00000000" w:rsidRDefault="00000000" w:rsidRPr="00000000" w14:paraId="0000006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register(evaluation: StrategyEvaluation) -&gt; StrategyEvaluation</w:t>
        <w:br w:type="textWrapping"/>
        <w:t xml:space="preserve">get(evaluation_id: str) -&gt; StrategyEvaluation</w:t>
        <w:br w:type="textWrapping"/>
        <w:t xml:space="preserve">exists(evaluation_id: str) -&gt; bool</w:t>
        <w:br w:type="textWrapping"/>
        <w:t xml:space="preserve">list() -&gt; tuple[StrategyEvaluation, ...]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Debe impedir evaluation_id duplicados.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Debe conservar las instancias registradas sin modificación.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Debe devolver colecciones inmutables o copias defensivas.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ejecuta evaluaciones ni accede a Knowledge.</w:t>
      </w:r>
    </w:p>
    <w:p w:rsidR="00000000" w:rsidDel="00000000" w:rsidP="00000000" w:rsidRDefault="00000000" w:rsidRPr="00000000" w14:paraId="00000065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8.3 StrategyEvaluationAccess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Frontera interna de solo lectura para consumidores posteriores dentro del mismo dominio.</w:t>
      </w:r>
    </w:p>
    <w:p w:rsidR="00000000" w:rsidDel="00000000" w:rsidP="00000000" w:rsidRDefault="00000000" w:rsidRPr="00000000" w14:paraId="0000006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get(evaluation_id: str) -&gt; StrategyEvaluation</w:t>
        <w:br w:type="textWrapping"/>
        <w:t xml:space="preserve">exists(evaluation_id: str) -&gt; bool</w:t>
        <w:br w:type="textWrapping"/>
        <w:t xml:space="preserve">list() -&gt; tuple[StrategyEvaluation, ...]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registra, reemplaza ni elimina evaluaciones.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constituye todavía la frontera pública hacia Risk, Portfolio o Execution.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Debe delegar la lectura en el registro sin exponer mutabilidad.</w:t>
      </w:r>
    </w:p>
    <w:p w:rsidR="00000000" w:rsidDel="00000000" w:rsidP="00000000" w:rsidRDefault="00000000" w:rsidRPr="00000000" w14:paraId="0000006B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8.4 StrategyEvaluationService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Servicio de aplicación/dominio responsable de orquestar el caso de uso completo.</w:t>
      </w:r>
    </w:p>
    <w:p w:rsidR="00000000" w:rsidDel="00000000" w:rsidP="00000000" w:rsidRDefault="00000000" w:rsidRPr="00000000" w14:paraId="0000006D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evaluate(</w:t>
        <w:br w:type="textWrapping"/>
        <w:t xml:space="preserve">    *,</w:t>
        <w:br w:type="textWrapping"/>
        <w:t xml:space="preserve">    evaluation_id: str,</w:t>
        <w:br w:type="textWrapping"/>
        <w:t xml:space="preserve">    strategy: Strategy,</w:t>
        <w:br w:type="textWrapping"/>
        <w:t xml:space="preserve">    context: EvaluationContext,</w:t>
        <w:br w:type="textWrapping"/>
        <w:t xml:space="preserve">    criteria: EvaluationCriteria,</w:t>
        <w:br w:type="textWrapping"/>
        <w:t xml:space="preserve">    knowledge_id: str,</w:t>
        <w:br w:type="textWrapping"/>
        <w:t xml:space="preserve">    knowledge_version: str,</w:t>
        <w:br w:type="textWrapping"/>
        <w:t xml:space="preserve">) -&gt; StrategyEvaluation</w:t>
      </w:r>
    </w:p>
    <w:p w:rsidR="00000000" w:rsidDel="00000000" w:rsidP="00000000" w:rsidRDefault="00000000" w:rsidRPr="00000000" w14:paraId="0000006E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9. Flujo normativo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Validar la forma básica de evaluation_id, knowledge_id y knowledge_version.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Verificar que evaluation_id no exista ya en StrategyEvaluationRegistry.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Resolver la referencia de Knowledge exclusivamente mediante: KnowledgeConsumptionAccess.resolve( knowledge_id, knowledge_version, )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Si la resolución falla —porque el linaje no existe, la versión solicitada no existe, la versión no es consumible o la referencia no puede resolverse de forma inequívoca— el proceso deberá abortar inmediatamente.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En ese caso no se invocará StrategyEvaluator y no se registrará ninguna StrategyEvaluation.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La instancia pública de KnowledgeConsumptionRecord retornada por resolve() será la única representación de Knowledge utilizada durante el resto del proceso.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Invocar StrategyEvaluator con Strategy, EvaluationContext, EvaluationCriteria y el Knowledge publicado recuperado.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Validar que el evaluator retornó un Mapping no vacío.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Construir StrategyEvaluation usando evaluation_id, strategy, context, knowledge_id, knowledge_version y result; los criterios permanecen como entrada explícita del proceso conforme al modelo vigente de IT-027-001.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Registrar la StrategyEvaluation.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Retornar la instancia registrada.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Ante cualquier error anterior al registro, no deberá quedar ninguna evaluación parcial.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Nota contractual: si el modelo vigente de StrategyEvaluation incorpora EvaluationCriteria como campo persistido, el servicio deberá suministrarlo. Si IT-027-001 lo mantiene asociado a Strategy o a otro componente, el implementador deberá respetar exactamente el contrato aprobado y reportar cualquier contradicción antes de modificarlo.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KnowledgeConsumptionAccess.resolve( knowledge_id, knowledge_version, ) </w:t>
      </w:r>
    </w:p>
    <w:p w:rsidR="00000000" w:rsidDel="00000000" w:rsidP="00000000" w:rsidRDefault="00000000" w:rsidRPr="00000000" w14:paraId="0000007D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10. Dependencias permitidas</w:t>
      </w:r>
    </w:p>
    <w:p w:rsidR="00000000" w:rsidDel="00000000" w:rsidP="00000000" w:rsidRDefault="00000000" w:rsidRPr="00000000" w14:paraId="0000007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StrategyEvaluationService</w:t>
        <w:br w:type="textWrapping"/>
        <w:t xml:space="preserve">        ├── StrategyEvaluator</w:t>
        <w:br w:type="textWrapping"/>
        <w:t xml:space="preserve">        ├── StrategyEvaluationRegistry</w:t>
        <w:br w:type="textWrapping"/>
        <w:t xml:space="preserve">        └── KnowledgeConsumptionAccess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Biblioteca estándar de Python.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Módulos internos de quant_platform.strategy_evaluation.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Interfaz pública KnowledgeConsumptionAccess definida por IT-026-005.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Contratos de dominio aprobados en IT-027-001.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Interfaz pública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KnowledgeConsumptionAccess</w:t>
      </w:r>
      <w:r w:rsidDel="00000000" w:rsidR="00000000" w:rsidRPr="00000000">
        <w:rPr>
          <w:rtl w:val="0"/>
        </w:rPr>
        <w:t xml:space="preserve"> definida por IT-026-005 y ampliada normativamente para resolución exacta por IT-026-007. 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No se permiten dependencias directas hacia: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ValidatedKnowledgeRegistry o cualquier registry interno de Knowledge.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Knowledge Validation, Confidence, Relationship o Evolution services.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Data, Dataset, Research o Research Result.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Risk Management, Portfolio Management o Execution.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APIs, proveedores externos, bases de datos o frameworks cuantitativos.</w:t>
      </w:r>
    </w:p>
    <w:p w:rsidR="00000000" w:rsidDel="00000000" w:rsidP="00000000" w:rsidRDefault="00000000" w:rsidRPr="00000000" w14:paraId="0000008A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11. Invariantes arquitectónicos</w:t>
      </w:r>
    </w:p>
    <w:tbl>
      <w:tblPr>
        <w:tblStyle w:val="Table2"/>
        <w:tblW w:w="993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68"/>
        <w:gridCol w:w="4968"/>
        <w:tblGridChange w:id="0">
          <w:tblGrid>
            <w:gridCol w:w="4968"/>
            <w:gridCol w:w="4968"/>
          </w:tblGrid>
        </w:tblGridChange>
      </w:tblGrid>
      <w:tr>
        <w:trPr>
          <w:cantSplit w:val="0"/>
          <w:tblHeader w:val="0"/>
        </w:trPr>
        <w:tc>
          <w:tcPr>
            <w:shd w:fill="2f5597" w:val="clear"/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Invariante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597" w:val="clear"/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No puede existir una evaluación registrada sin una Strategy válida.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No puede existir una evaluación registrada sin EvaluationContext y EvaluationCriteria explícitos.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Toda evaluación referencia exactamente un par (knowledge_id, knowledge_version) resoluble mediante KnowledgeConsumptionAccess.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StrategyEvaluationService nunca accede a componentes internos de Knowledge.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Una evaluación registrada nunca se modifica, reemplaza ni elimina dentro de este MVP.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Un evaluation_id identifica como máximo una evaluación.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Un fallo del evaluator nunca produce un registro parcial.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El proceso no modifica Strategy, Context, Criteria ni Knowledge.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El registry no ejecuta lógica cuantitativa.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El service no interpreta métricas ni decide si una Strategy es apta para operar.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La misma entrada y el mismo evaluator determinista deben permitir reproducir el mismo resultado de evaluación, excluyendo únicamente la identidad externa evaluation_id.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INV-027-002-012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No se registrará un resultado vacío, no Mapping o incompatible con StrategyEvaluation.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12. Errores de dominio y proceso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La implementación deberá reutilizar las excepciones existentes cuando su semántica sea suficiente y añadir únicamente las excepciones mínimas que resulten necesarias. Como mínimo deberá distinguir: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Identidad de evaluación inválida.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Evaluación duplicada.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Knowledge inexistente.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Versión de Knowledge inexistente o distinta de la solicitada.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Entrada de dominio inválida.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Resultado del evaluator inválido.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Fallo controlado del evaluator.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No deberán filtrarse excepciones específicas de infraestructura ni de implementaciones concretas hacia el contrato público del servicio. Toda traducción deberá conservar la causa mediante exception chaining cuando corresponda.</w:t>
      </w:r>
    </w:p>
    <w:p w:rsidR="00000000" w:rsidDel="00000000" w:rsidP="00000000" w:rsidRDefault="00000000" w:rsidRPr="00000000" w14:paraId="000000AF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13. Componentes mínimos esperados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La ubicación exacta deberá respetar la estructura vigente del repositorio. Como referencia, el incremento deberá producir componentes equivalentes a:</w:t>
      </w:r>
    </w:p>
    <w:p w:rsidR="00000000" w:rsidDel="00000000" w:rsidP="00000000" w:rsidRDefault="00000000" w:rsidRPr="00000000" w14:paraId="000000B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src/quant_platform/strategy_evaluation/</w:t>
        <w:br w:type="textWrapping"/>
        <w:t xml:space="preserve">├── application/ o services/</w:t>
        <w:br w:type="textWrapping"/>
        <w:t xml:space="preserve">│   └── strategy_evaluation_service.py</w:t>
        <w:br w:type="textWrapping"/>
        <w:t xml:space="preserve">├── domain/</w:t>
        <w:br w:type="textWrapping"/>
        <w:t xml:space="preserve">│   └── ports/</w:t>
        <w:br w:type="textWrapping"/>
        <w:t xml:space="preserve">│       └── strategy_evaluator.py</w:t>
        <w:br w:type="textWrapping"/>
        <w:t xml:space="preserve">├── registry/</w:t>
        <w:br w:type="textWrapping"/>
        <w:t xml:space="preserve">│   ├── strategy_evaluation_registry.py</w:t>
        <w:br w:type="textWrapping"/>
        <w:t xml:space="preserve">│   └── strategy_evaluation_access.py</w:t>
        <w:br w:type="textWrapping"/>
        <w:t xml:space="preserve">└── ... exports públicos mínimos</w:t>
        <w:br w:type="textWrapping"/>
        <w:br w:type="textWrapping"/>
        <w:t xml:space="preserve">tests/unit/strategy_evaluation/</w:t>
        <w:br w:type="textWrapping"/>
        <w:t xml:space="preserve">├── test_strategy_evaluation_service.py</w:t>
        <w:br w:type="textWrapping"/>
        <w:t xml:space="preserve">├── test_strategy_evaluation_registry.py</w:t>
        <w:br w:type="textWrapping"/>
        <w:t xml:space="preserve">└── test_strategy_evaluation_access.py</w:t>
        <w:br w:type="textWrapping"/>
        <w:br w:type="textWrapping"/>
        <w:t xml:space="preserve">scripts/</w:t>
        <w:br w:type="textWrapping"/>
        <w:t xml:space="preserve">└── run_strategy_evaluation.py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El implementador podrá ajustar nombres de carpetas para conservar la arquitectura existente, pero no podrá alterar responsabilidades ni contratos.</w:t>
      </w:r>
    </w:p>
    <w:p w:rsidR="00000000" w:rsidDel="00000000" w:rsidP="00000000" w:rsidRDefault="00000000" w:rsidRPr="00000000" w14:paraId="000000B3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14. Estrategia de pruebas obligatoria</w:t>
      </w:r>
    </w:p>
    <w:tbl>
      <w:tblPr>
        <w:tblStyle w:val="Table3"/>
        <w:tblW w:w="993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68"/>
        <w:gridCol w:w="4968"/>
        <w:tblGridChange w:id="0">
          <w:tblGrid>
            <w:gridCol w:w="4968"/>
            <w:gridCol w:w="4968"/>
          </w:tblGrid>
        </w:tblGridChange>
      </w:tblGrid>
      <w:tr>
        <w:trPr>
          <w:cantSplit w:val="0"/>
          <w:tblHeader w:val="0"/>
        </w:trPr>
        <w:tc>
          <w:tcPr>
            <w:shd w:fill="2f5597" w:val="clear"/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597" w:val="clear"/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Comportamiento requerido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Evaluación correcta con Strategy, Context, Criteria y Knowledge válidos.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Registro y recuperación de la evaluación producida.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Rechazo de evaluation_id vacío o inválido.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Rechazo de evaluation_id duplicado antes de ejecutar el evaluator.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Rechazo de knowledge_id inexistente.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Rechazo cuando knowledge_version no coincide con la versión publicada.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Demostración de que solo se usa KnowledgeConsumptionAccess y no componentes internos.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Rechazo de resultado vacío o de tipo inválido.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Fallo del evaluator sin registro parcial.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Preservación íntegra de Strategy, Context, Criteria y Knowledge.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Aislamiento frente a mutación posterior de estructuras de entrada o resultado.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Acceso de solo lectura mediante get, exists y 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Colección list inmutable o defensiva.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Dos evaluadores conformes pueden sustituirse sin cambiar StrategyEvaluationService.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Reproducibilidad: el mismo evaluator determinista y las mismas entradas producen el mismo 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Análisis de imports que demuestre ausencia de dependencias prohibidas.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19"/>
                <w:szCs w:val="19"/>
                <w:rtl w:val="0"/>
              </w:rPr>
              <w:t xml:space="preserve">T-017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Suite completa del proyecto sin regresiones.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15. Demostración funcional mínima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El script demostrativo deberá ejecutar un flujo completamente local y determinista:</w:t>
      </w:r>
    </w:p>
    <w:p w:rsidR="00000000" w:rsidDel="00000000" w:rsidP="00000000" w:rsidRDefault="00000000" w:rsidRPr="00000000" w14:paraId="000000D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Knowledge publicado en memoria</w:t>
        <w:br w:type="textWrapping"/>
        <w:t xml:space="preserve">        ↓</w:t>
        <w:br w:type="textWrapping"/>
        <w:t xml:space="preserve">Strategy válida</w:t>
        <w:br w:type="textWrapping"/>
        <w:t xml:space="preserve">+ EvaluationContext</w:t>
        <w:br w:type="textWrapping"/>
        <w:t xml:space="preserve">+ EvaluationCriteria</w:t>
        <w:br w:type="textWrapping"/>
        <w:t xml:space="preserve">        ↓</w:t>
        <w:br w:type="textWrapping"/>
        <w:t xml:space="preserve">Evaluator determinista de demostración</w:t>
        <w:br w:type="textWrapping"/>
        <w:t xml:space="preserve">        ↓</w:t>
        <w:br w:type="textWrapping"/>
        <w:t xml:space="preserve">StrategyEvaluationService</w:t>
        <w:br w:type="textWrapping"/>
        <w:t xml:space="preserve">        ↓</w:t>
        <w:br w:type="textWrapping"/>
        <w:t xml:space="preserve">StrategyEvaluation registrada</w:t>
        <w:br w:type="textWrapping"/>
        <w:t xml:space="preserve">        ↓</w:t>
        <w:br w:type="textWrapping"/>
        <w:t xml:space="preserve">Recuperación mediante StrategyEvaluationAccess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utilizar red, archivos, bases de datos ni proveedores externos.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incluir lógica financiera presentada como productiva.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 evaluator de demostración podrá devolver un resultado mínimo y claramente etiquetado como stub/determinista.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salida deberá mostrar evaluation_id, strategy_id, knowledge_id, knowledge_version y el resultado registrado.</w:t>
      </w:r>
    </w:p>
    <w:p w:rsidR="00000000" w:rsidDel="00000000" w:rsidP="00000000" w:rsidRDefault="00000000" w:rsidRPr="00000000" w14:paraId="000000DF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16. Criterios de aceptación</w:t>
      </w:r>
    </w:p>
    <w:p w:rsidR="00000000" w:rsidDel="00000000" w:rsidP="00000000" w:rsidRDefault="00000000" w:rsidRPr="00000000" w14:paraId="000000E0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16.1 Funcionales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F-001: Existe StrategyEvaluationService y puede completar el flujo principal.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F-002: Existe un contrato StrategyEvaluator sustituible.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F-003: Existe StrategyEvaluationRegistry con unicidad por evaluation_id.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F-004: Existe StrategyEvaluationAccess de solo lectura.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F-005: Una evaluación válida queda registrada y puede recuperarse.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F-006: Knowledge se resuelve mediante el par exacto (knowledge_id, knowledge_version).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F-007: Un error anterior al registro no deja estado parcial.</w:t>
      </w:r>
    </w:p>
    <w:p w:rsidR="00000000" w:rsidDel="00000000" w:rsidP="00000000" w:rsidRDefault="00000000" w:rsidRPr="00000000" w14:paraId="000000E8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16.2 Arquitectónicos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A-001: El dominio depende únicamente de la frontera pública de Knowledge.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A-002: StrategyEvaluationService no contiene cálculo cuantitativo concreto.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A-003: StrategyEvaluator no conoce registry ni access.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A-004: Registry y Access no conocen Knowledge ni ejecutan evaluaciones.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A-005: No existen dependencias hacia Data, Research, Risk, Portfolio o Execution.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A-006: No se modifica el contrato aprobado de IT-027-001 salvo inconsistencia documentada y decisión arquitectónica previa.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A-007: La implementación permanece compatible con Python 3.11–3.14 y las herramientas declaradas por el proyecto.</w:t>
      </w:r>
    </w:p>
    <w:p w:rsidR="00000000" w:rsidDel="00000000" w:rsidP="00000000" w:rsidRDefault="00000000" w:rsidRPr="00000000" w14:paraId="000000F0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16.3 Calidad y evidencia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Q-001: Todas las pruebas nuevas pasan.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Q-002: La suite completa del proyecto pasa sin regresiones.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Q-003: Ruff no reporta incidencias en archivos modificados.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Q-004: git diff --check no reporta errores.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Q-005: No se agregan dependencias.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Q-006: Se entrega inventario de archivos, decisiones locales, resultados de comandos y desviaciones.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Q-007: El documento IT y el código implementado mantienen el mismo contrato.</w:t>
      </w:r>
    </w:p>
    <w:p w:rsidR="00000000" w:rsidDel="00000000" w:rsidP="00000000" w:rsidRDefault="00000000" w:rsidRPr="00000000" w14:paraId="000000F8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17. Prohibiciones explícitas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redefinir Strategy, StrategyEvaluation, EvaluationContext ni EvaluationCriteria.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mover EvaluationCriteria entre entidades sin decisión arquitectónica expresa.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inventar una nueva representación de Knowledge.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acceder a registries internos de Knowledge.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añadir un motor de backtesting.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definir métricas financieras canónicas en este IT.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comparar ni clasificar estrategias.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decidir aprobación, rechazo o aptitud operativa.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implementar persistencia externa.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introducir patrones genéricos, buses, factories o contenedores de inyección sin necesidad demostrada.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optimizar ni automatizar el proceso.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modificar documentos o código ajenos al alcance para “mejorarlos”.</w:t>
      </w:r>
    </w:p>
    <w:p w:rsidR="00000000" w:rsidDel="00000000" w:rsidP="00000000" w:rsidRDefault="00000000" w:rsidRPr="00000000" w14:paraId="00000105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18. Orden de implementación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Leer DOC-027, IT-026-005, IT-026-007 e IT-027-001 y confirmar los contratos reales disponibles.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Detectar cualquier contradicción entre el IT, los documentos y el código; detener únicamente la parte afectada y reportarla conforme a DOC-020.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Escribir primero las pruebas del flujo principal, referencias inválidas, duplicidad y atomicidad.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Introducir StrategyEvaluator como contrato mínimo.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Implementar StrategyEvaluationRegistry y sus pruebas.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Implementar StrategyEvaluationAccess y sus pruebas.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Implementar StrategyEvaluationService y sus pruebas.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el evaluator determinista y script demostrativo únicamente después de cerrar el dominio.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Ejecutar pruebas focalizadas, suite completa, Ruff y git diff --check.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Entregar evidencia; no realizar optimización ni automatización.</w:t>
      </w:r>
    </w:p>
    <w:p w:rsidR="00000000" w:rsidDel="00000000" w:rsidP="00000000" w:rsidRDefault="00000000" w:rsidRPr="00000000" w14:paraId="00000110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19. Evidencia mínima requerida al agente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Lista exacta de archivos creados y modificados.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Mapeo requisito → implementación/prueba.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Confirmación del contrato real utilizado para KnowledgeConsumptionAccess.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Confirmación de que (knowledge_id, knowledge_version) se valida inequívocamente.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Resultado de pruebas focalizadas del dominio.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Resultado de la suite completa.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Resultado de Ruff.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Resultado de git diff --check.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Análisis de imports y confirmación de dependencias prohibidas ausentes.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Demostración de inmutabilidad y ausencia de registro parcial.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Decisiones no especificadas que hayan sido imprescindibles.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Conflictos o desviaciones detectados.</w:t>
      </w:r>
    </w:p>
    <w:p w:rsidR="00000000" w:rsidDel="00000000" w:rsidP="00000000" w:rsidRDefault="00000000" w:rsidRPr="00000000" w14:paraId="0000011D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20. Gestión de inconsistencias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Si durante la implementación aparece un conflicto entre este IT, DOC-027, IT-026-005, IT-026-007, IT-027-001 o el código existente, el agente deberá detener la modificación afectada, describir la contradicción con evidencia y solicitar decisión arquitectónica. No podrá resolver unilateralmente cambios de contratos, identidades, dependencias o responsabilidades.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Las diferencias puramente internas que no alteren contratos —por ejemplo, nombres privados, organización local compatible o refactor limitado— podrán resolverse aplicando las prácticas vigentes del repositorio y deberán informarse en la evidencia.</w:t>
      </w:r>
    </w:p>
    <w:p w:rsidR="00000000" w:rsidDel="00000000" w:rsidP="00000000" w:rsidRDefault="00000000" w:rsidRPr="00000000" w14:paraId="00000120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21. Resultado arquitectónico esperado</w:t>
      </w:r>
    </w:p>
    <w:p w:rsidR="00000000" w:rsidDel="00000000" w:rsidP="00000000" w:rsidRDefault="00000000" w:rsidRPr="00000000" w14:paraId="0000012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2f2f2" w:val="clear"/>
        <w:spacing w:after="120" w:before="80" w:line="276" w:lineRule="auto"/>
        <w:ind w:left="360" w:right="216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Antes de IT-027-002</w:t>
        <w:br w:type="textWrapping"/>
        <w:br w:type="textWrapping"/>
        <w:t xml:space="preserve">Strategy + Context + Criteria + Knowledge reference</w:t>
        <w:br w:type="textWrapping"/>
        <w:t xml:space="preserve">        │</w:t>
        <w:br w:type="textWrapping"/>
        <w:t xml:space="preserve">        └── No existe un proceso canónico que produzca la evaluación</w:t>
        <w:br w:type="textWrapping"/>
        <w:br w:type="textWrapping"/>
        <w:t xml:space="preserve">Después de IT-027-002</w:t>
        <w:br w:type="textWrapping"/>
        <w:br w:type="textWrapping"/>
        <w:t xml:space="preserve">Strategy + Context + Criteria + Published Knowledge</w:t>
        <w:br w:type="textWrapping"/>
        <w:t xml:space="preserve">        ↓</w:t>
        <w:br w:type="textWrapping"/>
        <w:t xml:space="preserve">Strategy Evaluation Process</w:t>
        <w:br w:type="textWrapping"/>
        <w:t xml:space="preserve">        ↓</w:t>
        <w:br w:type="textWrapping"/>
        <w:t xml:space="preserve">StrategyEvaluation registrada y recuperable internamente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El dominio queda preparado para una capacidad posterior de comparación consistente o de publicación controlada, pero ninguna de ellas forma parte de este incremento.</w:t>
      </w:r>
    </w:p>
    <w:p w:rsidR="00000000" w:rsidDel="00000000" w:rsidP="00000000" w:rsidRDefault="00000000" w:rsidRPr="00000000" w14:paraId="00000123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22. Declaración final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IT-027-002 implementa la primera capacidad operativa del dominio Strategy Evaluation mediante una solución mínima técnicamente completa. Establece una orquestación trazable, un punto de cálculo sustituible y un registro interno inmutable, sin anticipar los algoritmos cuantitativos, la comparación, la publicación ni las decisiones operativas que corresponden a incrementos posteriores.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La implementación será considerada conforme únicamente cuando el flujo completo pueda demostrarse mediante pruebas reproducibles y permanezca dentro de las fronteras arquitectónicas definidas por DOC-027.</w:t>
      </w:r>
    </w:p>
    <w:p w:rsidR="00000000" w:rsidDel="00000000" w:rsidP="00000000" w:rsidRDefault="00000000" w:rsidRPr="00000000" w14:paraId="00000126">
      <w:pPr>
        <w:pStyle w:val="Heading1"/>
        <w:keepNext w:val="1"/>
        <w:rPr/>
      </w:pPr>
      <w:r w:rsidDel="00000000" w:rsidR="00000000" w:rsidRPr="00000000">
        <w:rPr>
          <w:b w:val="1"/>
          <w:bCs w:val="1"/>
          <w:rtl w:val="0"/>
        </w:rPr>
        <w:t xml:space="preserve">ANEXO A — ORDEN DIRECTA PARA EL AGENTE DE IMPLEMENTACIÓN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Implementa IT-027-002 exactamente conforme a este documento. No rediseñes la arquitectura, no amplíes el alcance y no revises ni modifiques componentes ajenos salvo que una dependencia contractual lo requiera de manera demostrable.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Usa IT-027-001 como modelo canónico ya aprobado.</w:t>
      </w:r>
    </w:p>
    <w:p w:rsidR="00000000" w:rsidDel="00000000" w:rsidP="00000000" w:rsidRDefault="00000000" w:rsidRPr="00000000" w14:paraId="00000129">
      <w:pPr>
        <w:numPr>
          <w:ilvl w:val="0"/>
          <w:numId w:val="1"/>
        </w:numPr>
        <w:spacing w:after="240" w:before="240" w:lineRule="auto"/>
        <w:ind w:left="360" w:right="600"/>
      </w:pPr>
      <w:r w:rsidDel="00000000" w:rsidR="00000000" w:rsidRPr="00000000">
        <w:rPr>
          <w:rtl w:val="0"/>
        </w:rPr>
        <w:t xml:space="preserve">Consume Knowledge exclusivamente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KnowledgeConsumptionAccess</w:t>
      </w:r>
      <w:r w:rsidDel="00000000" w:rsidR="00000000" w:rsidRPr="00000000">
        <w:rPr>
          <w:rtl w:val="0"/>
        </w:rPr>
        <w:t xml:space="preserve">, definido por IT-026-005 y ampliado normativamente para resolución exacta mediante IT-026-007.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Implementa StrategyEvaluator, StrategyEvaluationService, StrategyEvaluationRegistry y StrategyEvaluationAccess con las responsabilidades descritas.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Escribe pruebas antes o junto con cada componente y cierra completamente cada ciclo pequeño antes de comenzar el siguiente.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introduzcas métricas financieras productivas, comparación, optimización, publicación, persistencia externa ni automatización.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Ante una contradicción contractual, detén la parte afectada y entrega evidencia; no decidas arquitectura.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Finaliza con la evidencia requerida en la sección 19.</w:t>
      </w:r>
    </w:p>
    <w:sectPr>
      <w:headerReference r:id="rId7" w:type="default"/>
      <w:footerReference r:id="rId8" w:type="default"/>
      <w:pgSz w:h="15840" w:w="12240" w:orient="portrait"/>
      <w:pgMar w:bottom="1008" w:top="1008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e6e6e"/>
        <w:sz w:val="16"/>
        <w:szCs w:val="16"/>
        <w:u w:val="none"/>
        <w:shd w:fill="auto" w:val="clear"/>
        <w:vertAlign w:val="baseline"/>
        <w:rtl w:val="0"/>
      </w:rPr>
      <w:t xml:space="preserve">Documento normativo de implementación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TramitaGO Quant Platform  |  IT-027-002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10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200" w:lineRule="auto"/>
    </w:pPr>
    <w:rPr>
      <w:rFonts w:ascii="Aptos" w:cs="Aptos" w:eastAsia="Aptos" w:hAnsi="Aptos"/>
      <w:b w:val="1"/>
      <w:bCs w:val="1"/>
      <w:color w:val="17365d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Aptos" w:cs="Aptos" w:eastAsia="Aptos" w:hAnsi="Aptos"/>
      <w:b w:val="1"/>
      <w:bCs w:val="1"/>
      <w:color w:val="2f5597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200" w:lineRule="auto"/>
    </w:pPr>
    <w:rPr>
      <w:rFonts w:ascii="Aptos" w:cs="Aptos" w:eastAsia="Aptos" w:hAnsi="Aptos"/>
      <w:b w:val="1"/>
      <w:bCs w:val="1"/>
      <w:color w:val="1f4e79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100" w:before="0" w:line="240" w:lineRule="auto"/>
    </w:pPr>
    <w:rPr>
      <w:rFonts w:ascii="Play" w:cs="Play" w:eastAsia="Play" w:hAnsi="Play"/>
      <w:b w:val="1"/>
      <w:bCs w:val="1"/>
      <w:color w:val="17365d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fcPYw30921v51uDFonde1OKiyw==">CgMxLjA4AHIhMTdJX3pRYklCOFJoeHdMMS1LX196bThoNk8xU1dDaXRL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