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IT-026-007 — Knowledge Version Resolution MVP</w:t>
      </w:r>
    </w:p>
    <w:p>
      <w:pPr>
        <w:jc w:val="center"/>
      </w:pPr>
      <w:r>
        <w:rPr>
          <w:i/>
          <w:sz w:val="24"/>
        </w:rPr>
        <w:t>TramitaGO Quant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8424"/>
            <w:vAlign w:val="center"/>
          </w:tcPr>
          <w:p>
            <w:r>
              <w:t>IT-026-007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8424"/>
            <w:vAlign w:val="center"/>
          </w:tcPr>
          <w:p>
            <w:r>
              <w:t>Knowledge Version Resolution MVP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8424"/>
            <w:vAlign w:val="center"/>
          </w:tcPr>
          <w:p>
            <w:r>
              <w:t>1.0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8424"/>
            <w:vAlign w:val="center"/>
          </w:tcPr>
          <w:p>
            <w:r>
              <w:t>Normativo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  <w:t>Dependencias</w:t>
            </w:r>
          </w:p>
        </w:tc>
        <w:tc>
          <w:tcPr>
            <w:tcW w:type="dxa" w:w="8424"/>
            <w:vAlign w:val="center"/>
          </w:tcPr>
          <w:p>
            <w:r>
              <w:t>DOC-001, DOC-002, DOC-003, DOC-004, DOC-014, DOC-017, DOC-020, DOC-025, DOC-026, IT-026-001, IT-026-002, IT-026-003, IT-026-004, IT-026-005, IT-026-006, DOC-027, IT-027-002</w:t>
            </w:r>
          </w:p>
        </w:tc>
      </w:tr>
    </w:tbl>
    <w:p/>
    <w:p>
      <w:pPr>
        <w:pStyle w:val="Heading1"/>
        <w:keepNext/>
        <w:spacing w:before="200" w:after="80"/>
      </w:pPr>
      <w:r>
        <w:t>1. Objetivo</w:t>
      </w:r>
    </w:p>
    <w:p>
      <w:r>
        <w:t>Definir e implementar la capacidad mínima mediante la cual los consumidores autorizados del dominio Knowledge pueden resolver una versión histórica exacta de conocimiento utilizando el par (knowledge_id, knowledge_version), sin acceder a componentes internos ni depender de la versión vigente.</w:t>
      </w:r>
    </w:p>
    <w:p>
      <w:r>
        <w:t>Este IT amplía la frontera pública establecida por IT-026-005 para hacer consumibles las garantías históricas introducidas por IT-026-006 y para habilitar la reproducibilidad exigida por DOC-027 e IT-027-002.</w:t>
      </w:r>
    </w:p>
    <w:p>
      <w:r>
        <w:t>El incremento preserva los principios de:</w:t>
      </w:r>
    </w:p>
    <w:p>
      <w:pPr>
        <w:pStyle w:val="ListBullet"/>
      </w:pPr>
      <w:r>
        <w:t>inmutabilidad;</w:t>
      </w:r>
    </w:p>
    <w:p>
      <w:pPr>
        <w:pStyle w:val="ListBullet"/>
      </w:pPr>
      <w:r>
        <w:t>trazabilidad;</w:t>
      </w:r>
    </w:p>
    <w:p>
      <w:pPr>
        <w:pStyle w:val="ListBullet"/>
      </w:pPr>
      <w:r>
        <w:t>reproducibilidad;</w:t>
      </w:r>
    </w:p>
    <w:p>
      <w:pPr>
        <w:pStyle w:val="ListBullet"/>
      </w:pPr>
      <w:r>
        <w:t>encapsulamiento del dominio;</w:t>
      </w:r>
    </w:p>
    <w:p>
      <w:pPr>
        <w:pStyle w:val="ListBullet"/>
      </w:pPr>
      <w:r>
        <w:t>separación de responsabilidades;</w:t>
      </w:r>
    </w:p>
    <w:p>
      <w:pPr>
        <w:pStyle w:val="ListBullet"/>
      </w:pPr>
      <w:r>
        <w:t>compatibilidad hacia atrás.</w:t>
      </w:r>
    </w:p>
    <w:p>
      <w:pPr>
        <w:pStyle w:val="Heading1"/>
        <w:keepNext/>
        <w:spacing w:before="200" w:after="80"/>
      </w:pPr>
      <w:r>
        <w:t>2. Alcance</w:t>
      </w:r>
    </w:p>
    <w:p>
      <w:r>
        <w:t>Este IT implementa exclusivamente:</w:t>
      </w:r>
    </w:p>
    <w:p>
      <w:pPr>
        <w:pStyle w:val="ListBullet"/>
      </w:pPr>
      <w:r>
        <w:t>resolución pública de una versión exacta mediante knowledge_id y knowledge_version;</w:t>
      </w:r>
    </w:p>
    <w:p>
      <w:pPr>
        <w:pStyle w:val="ListBullet"/>
      </w:pPr>
      <w:r>
        <w:t>acceso de solo lectura al KnowledgeConsumptionRecord correspondiente;</w:t>
      </w:r>
    </w:p>
    <w:p>
      <w:pPr>
        <w:pStyle w:val="ListBullet"/>
      </w:pPr>
      <w:r>
        <w:t>validación de que la versión solicitada existe y es públicamente consumible;</w:t>
      </w:r>
    </w:p>
    <w:p>
      <w:pPr>
        <w:pStyle w:val="ListBullet"/>
      </w:pPr>
      <w:r>
        <w:t>preservación de las operaciones públicas existentes de IT-026-005;</w:t>
      </w:r>
    </w:p>
    <w:p>
      <w:pPr>
        <w:pStyle w:val="ListBullet"/>
      </w:pPr>
      <w:r>
        <w:t>pruebas unitarias y demostración determinista del consumo histórico.</w:t>
      </w:r>
    </w:p>
    <w:p>
      <w:r>
        <w:t>No implementa:</w:t>
      </w:r>
    </w:p>
    <w:p>
      <w:pPr>
        <w:pStyle w:val="ListBullet"/>
      </w:pPr>
      <w:r>
        <w:t>creación o evolución de Knowledge;</w:t>
      </w:r>
    </w:p>
    <w:p>
      <w:pPr>
        <w:pStyle w:val="ListBullet"/>
      </w:pPr>
      <w:r>
        <w:t>selección automática de la versión vigente;</w:t>
      </w:r>
    </w:p>
    <w:p>
      <w:pPr>
        <w:pStyle w:val="ListBullet"/>
      </w:pPr>
      <w:r>
        <w:t>comparación entre versiones;</w:t>
      </w:r>
    </w:p>
    <w:p>
      <w:pPr>
        <w:pStyle w:val="ListBullet"/>
      </w:pPr>
      <w:r>
        <w:t>depreciación, retiro o eliminación;</w:t>
      </w:r>
    </w:p>
    <w:p>
      <w:pPr>
        <w:pStyle w:val="ListBullet"/>
      </w:pPr>
      <w:r>
        <w:t>migración de consumidores;</w:t>
      </w:r>
    </w:p>
    <w:p>
      <w:pPr>
        <w:pStyle w:val="ListBullet"/>
      </w:pPr>
      <w:r>
        <w:t>persistencia externa;</w:t>
      </w:r>
    </w:p>
    <w:p>
      <w:pPr>
        <w:pStyle w:val="ListBullet"/>
      </w:pPr>
      <w:r>
        <w:t>cache;</w:t>
      </w:r>
    </w:p>
    <w:p>
      <w:pPr>
        <w:pStyle w:val="ListBullet"/>
      </w:pPr>
      <w:r>
        <w:t>optimización;</w:t>
      </w:r>
    </w:p>
    <w:p>
      <w:pPr>
        <w:pStyle w:val="ListBullet"/>
      </w:pPr>
      <w:r>
        <w:t>automatización.</w:t>
      </w:r>
    </w:p>
    <w:p>
      <w:pPr>
        <w:pStyle w:val="Heading1"/>
        <w:keepNext/>
        <w:spacing w:before="200" w:after="80"/>
      </w:pPr>
      <w:r>
        <w:t>3. Pregunta arquitectónica</w:t>
      </w:r>
    </w:p>
    <w:p>
      <w:r>
        <w:t>Este IT responde la siguiente pregunta:</w:t>
      </w:r>
    </w:p>
    <w:p>
      <w:pPr>
        <w:jc w:val="center"/>
      </w:pPr>
      <w:r>
        <w:rPr>
          <w:b/>
        </w:rPr>
        <w:t>¿Cómo puede un consumidor reconstruir un proceso utilizando exactamente una versión histórica publicada de Knowledge sin acceder al ciclo de vida interno del dominio?</w:t>
      </w:r>
    </w:p>
    <w:p>
      <w:r>
        <w:t>La respuesta arquitectónica es:</w:t>
      </w:r>
    </w:p>
    <w:p>
      <w:pPr>
        <w:pStyle w:val="CodeBlock"/>
      </w:pPr>
      <w:r>
        <w:t>knowledge_id</w:t>
      </w:r>
      <w:r>
        <w:br/>
      </w:r>
      <w:r>
        <w:t>+ knowledge_version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>KnowledgeConsumptionAccess.resolve(...)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>KnowledgeConsumptionRecord exacto</w:t>
      </w:r>
    </w:p>
    <w:p>
      <w:pPr>
        <w:pStyle w:val="Heading1"/>
        <w:keepNext/>
        <w:spacing w:before="200" w:after="80"/>
      </w:pPr>
      <w:r>
        <w:t>4. Contexto y necesidad</w:t>
      </w:r>
    </w:p>
    <w:p>
      <w:r>
        <w:t>IT-026-005 estableció la frontera pública de consumo mediante operaciones básicas por knowledge_id. IT-026-006 estableció que cada versión es permanente y que todas las versiones deben coexistir históricamente. DOC-027 exige que una evaluación pueda reconstruirse utilizando la misma versión del conocimiento y que una Strategy pueda evaluarse con versiones distintas.</w:t>
      </w:r>
    </w:p>
    <w:p>
      <w:r>
        <w:t>La operación get(knowledge_id) no es suficiente para esta necesidad, porque no expresa la selección exacta de una versión. Este IT añade una operación semánticamente distinta sin modificar la responsabilidad de get().</w:t>
      </w:r>
    </w:p>
    <w:p>
      <w:pPr>
        <w:pStyle w:val="Heading1"/>
        <w:keepNext/>
        <w:spacing w:before="200" w:after="80"/>
      </w:pPr>
      <w:r>
        <w:t>5. Principios normativos</w:t>
      </w:r>
    </w:p>
    <w:p>
      <w:r>
        <w:rPr>
          <w:b/>
        </w:rPr>
        <w:t>P1. Resolución exacta</w:t>
      </w:r>
      <w:r>
        <w:br/>
        <w:t>El resultado debe corresponder exactamente al par solicitado. Nunca podrá sustituirse silenciosamente por otra versión.</w:t>
      </w:r>
    </w:p>
    <w:p>
      <w:r>
        <w:rPr>
          <w:b/>
        </w:rPr>
        <w:t>P2. Solo lectura</w:t>
      </w:r>
      <w:r>
        <w:br/>
        <w:t>La resolución no crea, modifica, publica, evoluciona ni elimina ningún artefacto.</w:t>
      </w:r>
    </w:p>
    <w:p>
      <w:r>
        <w:rPr>
          <w:b/>
        </w:rPr>
        <w:t>P3. Frontera pública única</w:t>
      </w:r>
      <w:r>
        <w:br/>
        <w:t>Los consumidores externos utilizan KnowledgeConsumptionAccess. No acceden a registries, servicios de evolución ni entidades internas.</w:t>
      </w:r>
    </w:p>
    <w:p>
      <w:r>
        <w:rPr>
          <w:b/>
        </w:rPr>
        <w:t>P4. Versiones históricas permanentes</w:t>
      </w:r>
      <w:r>
        <w:br/>
        <w:t>Toda versión publicada y consumible debe continuar siendo resoluble mientras forme parte del historial normativo del sistema.</w:t>
      </w:r>
    </w:p>
    <w:p>
      <w:r>
        <w:rPr>
          <w:b/>
        </w:rPr>
        <w:t>P5. Operaciones con semántica separada</w:t>
      </w:r>
      <w:r>
        <w:br/>
        <w:t>get(knowledge_id) conserva su contrato vigente. resolve(knowledge_id, knowledge_version) representa recuperación histórica exacta.</w:t>
      </w:r>
    </w:p>
    <w:p>
      <w:r>
        <w:rPr>
          <w:b/>
        </w:rPr>
        <w:t>P6. Sin interpretación del consumidor</w:t>
      </w:r>
      <w:r>
        <w:br/>
        <w:t>El consumidor no reconstruye identificadores, no recorre cadenas internas y no infiere cuál versión corresponde.</w:t>
      </w:r>
    </w:p>
    <w:p>
      <w:r>
        <w:rPr>
          <w:b/>
        </w:rPr>
        <w:t>P7. Fallo explícito</w:t>
      </w:r>
      <w:r>
        <w:br/>
        <w:t>La ausencia, invalidez o falta de consumibilidad del par solicitado debe producir un error de dominio explícito.</w:t>
      </w:r>
    </w:p>
    <w:p>
      <w:pPr>
        <w:pStyle w:val="Heading1"/>
        <w:keepNext/>
        <w:spacing w:before="200" w:after="80"/>
      </w:pPr>
      <w:r>
        <w:t>6. Responsabilidad</w:t>
      </w:r>
    </w:p>
    <w:p>
      <w:r>
        <w:t>Knowledge Version Resolution es responsable únicamente de:</w:t>
      </w:r>
    </w:p>
    <w:p>
      <w:pPr>
        <w:pStyle w:val="ListBullet"/>
      </w:pPr>
      <w:r>
        <w:t>recibir un identificador de Knowledge y una versión explícita;</w:t>
      </w:r>
    </w:p>
    <w:p>
      <w:pPr>
        <w:pStyle w:val="ListBullet"/>
      </w:pPr>
      <w:r>
        <w:t>resolver la publicación exacta correspondiente;</w:t>
      </w:r>
    </w:p>
    <w:p>
      <w:pPr>
        <w:pStyle w:val="ListBullet"/>
      </w:pPr>
      <w:r>
        <w:t>devolver una representación pública e inmutable;</w:t>
      </w:r>
    </w:p>
    <w:p>
      <w:pPr>
        <w:pStyle w:val="ListBullet"/>
      </w:pPr>
      <w:r>
        <w:t>preservar el encapsulamiento y la trazabilidad del dominio.</w:t>
      </w:r>
    </w:p>
    <w:p>
      <w:r>
        <w:t>No es responsable de:</w:t>
      </w:r>
    </w:p>
    <w:p>
      <w:pPr>
        <w:pStyle w:val="ListBullet"/>
      </w:pPr>
      <w:r>
        <w:t>determinar qué versión debe usar un consumidor;</w:t>
      </w:r>
    </w:p>
    <w:p>
      <w:pPr>
        <w:pStyle w:val="ListBullet"/>
      </w:pPr>
      <w:r>
        <w:t>resolver la versión más reciente;</w:t>
      </w:r>
    </w:p>
    <w:p>
      <w:pPr>
        <w:pStyle w:val="ListBullet"/>
      </w:pPr>
      <w:r>
        <w:t>evolucionar Knowledge;</w:t>
      </w:r>
    </w:p>
    <w:p>
      <w:pPr>
        <w:pStyle w:val="ListBullet"/>
      </w:pPr>
      <w:r>
        <w:t>validar nueva evidencia;</w:t>
      </w:r>
    </w:p>
    <w:p>
      <w:pPr>
        <w:pStyle w:val="ListBullet"/>
      </w:pPr>
      <w:r>
        <w:t>recalcular Confidence o Relationships;</w:t>
      </w:r>
    </w:p>
    <w:p>
      <w:pPr>
        <w:pStyle w:val="ListBullet"/>
      </w:pPr>
      <w:r>
        <w:t>tomar decisiones de inversión.</w:t>
      </w:r>
    </w:p>
    <w:p>
      <w:pPr>
        <w:pStyle w:val="Heading1"/>
        <w:keepNext/>
        <w:spacing w:before="200" w:after="80"/>
      </w:pPr>
      <w:r>
        <w:t>7. Contrato público obligatorio</w:t>
      </w:r>
    </w:p>
    <w:p>
      <w:r>
        <w:t>KnowledgeConsumptionAccess deberá exponer la siguiente operación adicional:</w:t>
      </w:r>
    </w:p>
    <w:p>
      <w:pPr>
        <w:pStyle w:val="CodeBlock"/>
      </w:pPr>
      <w:r>
        <w:t>resolve(</w:t>
      </w:r>
      <w:r>
        <w:br/>
      </w:r>
      <w:r>
        <w:t xml:space="preserve">    knowledge_id: str,</w:t>
      </w:r>
      <w:r>
        <w:br/>
      </w:r>
      <w:r>
        <w:t xml:space="preserve">    knowledge_version: str,</w:t>
      </w:r>
      <w:r>
        <w:br/>
      </w:r>
      <w:r>
        <w:t>) -&gt; KnowledgeConsumptionRecord</w:t>
      </w:r>
    </w:p>
    <w:p>
      <w:pPr>
        <w:pStyle w:val="Heading2"/>
        <w:keepNext/>
        <w:spacing w:before="200" w:after="80"/>
      </w:pPr>
      <w:r>
        <w:t>7.1 Entradas</w:t>
      </w:r>
    </w:p>
    <w:p>
      <w:pPr>
        <w:pStyle w:val="ListBullet"/>
      </w:pPr>
      <w:r>
        <w:t>knowledge_id: identificador canónico del Knowledge;</w:t>
      </w:r>
    </w:p>
    <w:p>
      <w:pPr>
        <w:pStyle w:val="ListBullet"/>
      </w:pPr>
      <w:r>
        <w:t>knowledge_version: identificador exacto de la versión solicitada.</w:t>
      </w:r>
    </w:p>
    <w:p>
      <w:r>
        <w:t>Ambos valores deberán:</w:t>
      </w:r>
    </w:p>
    <w:p>
      <w:pPr>
        <w:pStyle w:val="ListBullet"/>
      </w:pPr>
      <w:r>
        <w:t>ser strings;</w:t>
      </w:r>
    </w:p>
    <w:p>
      <w:pPr>
        <w:pStyle w:val="ListBullet"/>
      </w:pPr>
      <w:r>
        <w:t>ser obligatorios;</w:t>
      </w:r>
    </w:p>
    <w:p>
      <w:pPr>
        <w:pStyle w:val="ListBullet"/>
      </w:pPr>
      <w:r>
        <w:t>no estar vacíos;</w:t>
      </w:r>
    </w:p>
    <w:p>
      <w:pPr>
        <w:pStyle w:val="ListBullet"/>
      </w:pPr>
      <w:r>
        <w:t>normalizarse mediante strip();</w:t>
      </w:r>
    </w:p>
    <w:p>
      <w:pPr>
        <w:pStyle w:val="ListBullet"/>
      </w:pPr>
      <w:r>
        <w:t>tratarse como valores opacos.</w:t>
      </w:r>
    </w:p>
    <w:p>
      <w:pPr>
        <w:pStyle w:val="Heading2"/>
        <w:keepNext/>
        <w:spacing w:before="200" w:after="80"/>
      </w:pPr>
      <w:r>
        <w:t>7.2 Salida</w:t>
      </w:r>
    </w:p>
    <w:p>
      <w:r>
        <w:t>La operación deberá devolver exactamente un KnowledgeConsumptionRecord público e inmutable correspondiente al par solicitado.</w:t>
      </w:r>
    </w:p>
    <w:p>
      <w:r>
        <w:t>El record deberá conservar el contrato público definido por IT-026-005. Como mínimo, deberá permitir verificar:</w:t>
      </w:r>
    </w:p>
    <w:p>
      <w:pPr>
        <w:pStyle w:val="ListBullet"/>
      </w:pPr>
      <w:r>
        <w:t>knowledge_id;</w:t>
      </w:r>
    </w:p>
    <w:p>
      <w:pPr>
        <w:pStyle w:val="ListBullet"/>
      </w:pPr>
      <w:r>
        <w:t>version;</w:t>
      </w:r>
    </w:p>
    <w:p>
      <w:pPr>
        <w:pStyle w:val="ListBullet"/>
      </w:pPr>
      <w:r>
        <w:t>knowledge_type;</w:t>
      </w:r>
    </w:p>
    <w:p>
      <w:pPr>
        <w:pStyle w:val="ListBullet"/>
      </w:pPr>
      <w:r>
        <w:t>description;</w:t>
      </w:r>
    </w:p>
    <w:p>
      <w:pPr>
        <w:pStyle w:val="ListBullet"/>
      </w:pPr>
      <w:r>
        <w:t>status;</w:t>
      </w:r>
    </w:p>
    <w:p>
      <w:pPr>
        <w:pStyle w:val="ListBullet"/>
      </w:pPr>
      <w:r>
        <w:t>referencias públicas ya definidas por IT-026-005.</w:t>
      </w:r>
    </w:p>
    <w:p>
      <w:pPr>
        <w:pStyle w:val="Heading2"/>
        <w:keepNext/>
        <w:spacing w:before="200" w:after="80"/>
      </w:pPr>
      <w:r>
        <w:t>7.3 Compatibilidad de get()</w:t>
      </w:r>
    </w:p>
    <w:p>
      <w:r>
        <w:t>La operación existente:</w:t>
      </w:r>
    </w:p>
    <w:p>
      <w:pPr>
        <w:pStyle w:val="CodeBlock"/>
      </w:pPr>
      <w:r>
        <w:t>get(knowledge_id: str) -&gt; KnowledgeConsumptionRecord</w:t>
      </w:r>
    </w:p>
    <w:p>
      <w:r>
        <w:t>deberá conservar su comportamiento vigente. Este IT no redefine si get() representa una publicación vigente o una resolución por identificador único; únicamente establece que get() no sustituye a resolve() para reproducibilidad histórica.</w:t>
      </w:r>
    </w:p>
    <w:p>
      <w:r>
        <w:t>No se permitirán parámetros opcionales en get() para seleccionar versiones.</w:t>
      </w:r>
    </w:p>
    <w:p>
      <w:pPr>
        <w:pStyle w:val="Heading1"/>
        <w:keepNext/>
        <w:spacing w:before="200" w:after="80"/>
      </w:pPr>
      <w:r>
        <w:t>8. Modelo de resolución</w:t>
      </w:r>
    </w:p>
    <w:p>
      <w:pPr>
        <w:pStyle w:val="CodeBlock"/>
      </w:pPr>
      <w:r>
        <w:t>Consumer</w:t>
      </w:r>
      <w:r>
        <w:br/>
      </w:r>
      <w:r>
        <w:t xml:space="preserve">   │</w:t>
      </w:r>
      <w:r>
        <w:br/>
      </w:r>
      <w:r>
        <w:t xml:space="preserve">   ▼</w:t>
      </w:r>
      <w:r>
        <w:br/>
      </w:r>
      <w:r>
        <w:t>KnowledgeConsumptionAccess.resolve(id, version)</w:t>
      </w:r>
      <w:r>
        <w:br/>
      </w:r>
      <w:r>
        <w:t xml:space="preserve">   │</w:t>
      </w:r>
      <w:r>
        <w:br/>
      </w:r>
      <w:r>
        <w:t xml:space="preserve">   ▼</w:t>
      </w:r>
      <w:r>
        <w:br/>
      </w:r>
      <w:r>
        <w:t>Public Knowledge boundary</w:t>
      </w:r>
      <w:r>
        <w:br/>
      </w:r>
      <w:r>
        <w:t xml:space="preserve">   │</w:t>
      </w:r>
      <w:r>
        <w:br/>
      </w:r>
      <w:r>
        <w:t xml:space="preserve">   ▼</w:t>
      </w:r>
      <w:r>
        <w:br/>
      </w:r>
      <w:r>
        <w:t>Exact historical Knowledge publication</w:t>
      </w:r>
      <w:r>
        <w:br/>
      </w:r>
      <w:r>
        <w:t xml:space="preserve">   │</w:t>
      </w:r>
      <w:r>
        <w:br/>
      </w:r>
      <w:r>
        <w:t xml:space="preserve">   ▼</w:t>
      </w:r>
      <w:r>
        <w:br/>
      </w:r>
      <w:r>
        <w:t>KnowledgeConsumptionRecord</w:t>
      </w:r>
    </w:p>
    <w:p>
      <w:r>
        <w:t>La implementación interna podrá reutilizar componentes existentes, pero el consumidor nunca deberá conocerlos.</w:t>
      </w:r>
    </w:p>
    <w:p>
      <w:pPr>
        <w:pStyle w:val="Heading1"/>
        <w:keepNext/>
        <w:spacing w:before="200" w:after="80"/>
      </w:pPr>
      <w: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968"/>
          </w:tcPr>
          <w:p>
            <w:r>
              <w:t>R-001</w:t>
            </w:r>
          </w:p>
        </w:tc>
        <w:tc>
          <w:tcPr>
            <w:tcW w:type="dxa" w:w="4968"/>
          </w:tcPr>
          <w:p>
            <w:r>
              <w:t>Debe existir una versión asociada exactamente al par (knowledge_id, knowledge_version).</w:t>
            </w:r>
          </w:p>
        </w:tc>
      </w:tr>
      <w:tr>
        <w:tc>
          <w:tcPr>
            <w:tcW w:type="dxa" w:w="4968"/>
          </w:tcPr>
          <w:p>
            <w:r>
              <w:t>R-002</w:t>
            </w:r>
          </w:p>
        </w:tc>
        <w:tc>
          <w:tcPr>
            <w:tcW w:type="dxa" w:w="4968"/>
          </w:tcPr>
          <w:p>
            <w:r>
              <w:t>La versión resuelta debe encontrarse publicada y ser consumible por la frontera pública.</w:t>
            </w:r>
          </w:p>
        </w:tc>
      </w:tr>
      <w:tr>
        <w:tc>
          <w:tcPr>
            <w:tcW w:type="dxa" w:w="4968"/>
          </w:tcPr>
          <w:p>
            <w:r>
              <w:t>R-003</w:t>
            </w:r>
          </w:p>
        </w:tc>
        <w:tc>
          <w:tcPr>
            <w:tcW w:type="dxa" w:w="4968"/>
          </w:tcPr>
          <w:p>
            <w:r>
              <w:t>Una versión diferente, aunque sea más reciente, no satisface la solicitud.</w:t>
            </w:r>
          </w:p>
        </w:tc>
      </w:tr>
      <w:tr>
        <w:tc>
          <w:tcPr>
            <w:tcW w:type="dxa" w:w="4968"/>
          </w:tcPr>
          <w:p>
            <w:r>
              <w:t>R-004</w:t>
            </w:r>
          </w:p>
        </w:tc>
        <w:tc>
          <w:tcPr>
            <w:tcW w:type="dxa" w:w="4968"/>
          </w:tcPr>
          <w:p>
            <w:r>
              <w:t>Una versión histórica válida no puede ser sustituida por la publicación vigente.</w:t>
            </w:r>
          </w:p>
        </w:tc>
      </w:tr>
      <w:tr>
        <w:tc>
          <w:tcPr>
            <w:tcW w:type="dxa" w:w="4968"/>
          </w:tcPr>
          <w:p>
            <w:r>
              <w:t>R-005</w:t>
            </w:r>
          </w:p>
        </w:tc>
        <w:tc>
          <w:tcPr>
            <w:tcW w:type="dxa" w:w="4968"/>
          </w:tcPr>
          <w:p>
            <w:r>
              <w:t>La resolución no modifica el registro ni los artefactos asociados.</w:t>
            </w:r>
          </w:p>
        </w:tc>
      </w:tr>
      <w:tr>
        <w:tc>
          <w:tcPr>
            <w:tcW w:type="dxa" w:w="4968"/>
          </w:tcPr>
          <w:p>
            <w:r>
              <w:t>R-006</w:t>
            </w:r>
          </w:p>
        </w:tc>
        <w:tc>
          <w:tcPr>
            <w:tcW w:type="dxa" w:w="4968"/>
          </w:tcPr>
          <w:p>
            <w:r>
              <w:t>El resultado debe ser determinista: el mismo par, sin cambios normativos en el historial, produce un record equivalente.</w:t>
            </w:r>
          </w:p>
        </w:tc>
      </w:tr>
      <w:tr>
        <w:tc>
          <w:tcPr>
            <w:tcW w:type="dxa" w:w="4968"/>
          </w:tcPr>
          <w:p>
            <w:r>
              <w:t>R-007</w:t>
            </w:r>
          </w:p>
        </w:tc>
        <w:tc>
          <w:tcPr>
            <w:tcW w:type="dxa" w:w="4968"/>
          </w:tcPr>
          <w:p>
            <w:r>
              <w:t>El acceso histórico debe coexistir con get(), exists() y list() sin romper sus contratos.</w:t>
            </w:r>
          </w:p>
        </w:tc>
      </w:tr>
    </w:tbl>
    <w:p>
      <w:pPr>
        <w:pStyle w:val="Heading1"/>
        <w:keepNext/>
        <w:spacing w:before="200" w:after="80"/>
      </w:pPr>
      <w:r>
        <w:t>10. Errores de dominio</w:t>
      </w:r>
    </w:p>
    <w:p>
      <w:r>
        <w:t>La implementación deberá expresar fallos mediante excepciones específicas del dominio Knowledge. Como mínimo:</w:t>
      </w:r>
    </w:p>
    <w:p>
      <w:pPr>
        <w:pStyle w:val="ListBullet"/>
      </w:pPr>
      <w:r>
        <w:t>identificador de Knowledge inválido;</w:t>
      </w:r>
    </w:p>
    <w:p>
      <w:pPr>
        <w:pStyle w:val="ListBullet"/>
      </w:pPr>
      <w:r>
        <w:t>versión inválida;</w:t>
      </w:r>
    </w:p>
    <w:p>
      <w:pPr>
        <w:pStyle w:val="ListBullet"/>
      </w:pPr>
      <w:r>
        <w:t>par (knowledge_id, knowledge_version) inexistente;</w:t>
      </w:r>
    </w:p>
    <w:p>
      <w:pPr>
        <w:pStyle w:val="ListBullet"/>
      </w:pPr>
      <w:r>
        <w:t>versión existente pero no publicable o no consumible;</w:t>
      </w:r>
    </w:p>
    <w:p>
      <w:pPr>
        <w:pStyle w:val="ListBullet"/>
      </w:pPr>
      <w:r>
        <w:t>inconsistencia interna entre el par solicitado y el record recuperado.</w:t>
      </w:r>
    </w:p>
    <w:p>
      <w:r>
        <w:t>Los nombres concretos de las excepciones son una decisión interna de implementación, siempre que su semántica sea inequívoca y no se expongan excepciones de infraestructura.</w:t>
      </w:r>
    </w:p>
    <w:p>
      <w:pPr>
        <w:pStyle w:val="Heading1"/>
        <w:keepNext/>
        <w:spacing w:before="200" w:after="80"/>
      </w:pPr>
      <w:r>
        <w:t>11. Dependencias permitidas y prohibidas</w:t>
      </w:r>
    </w:p>
    <w:p>
      <w:pPr>
        <w:pStyle w:val="Heading2"/>
        <w:keepNext/>
        <w:spacing w:before="200" w:after="80"/>
      </w:pPr>
      <w:r>
        <w:t>11.1 Permitidas</w:t>
      </w:r>
    </w:p>
    <w:p>
      <w:pPr>
        <w:pStyle w:val="ListBullet"/>
      </w:pPr>
      <w:r>
        <w:t>componentes públicos e internos ya existentes del dominio Knowledge;</w:t>
      </w:r>
    </w:p>
    <w:p>
      <w:pPr>
        <w:pStyle w:val="ListBullet"/>
      </w:pPr>
      <w:r>
        <w:t>registros de versiones introducidos por IT-026-006;</w:t>
      </w:r>
    </w:p>
    <w:p>
      <w:pPr>
        <w:pStyle w:val="ListBullet"/>
      </w:pPr>
      <w:r>
        <w:t>KnowledgeConsumptionRecord y KnowledgeConsumptionAccess de IT-026-005;</w:t>
      </w:r>
    </w:p>
    <w:p>
      <w:pPr>
        <w:pStyle w:val="ListBullet"/>
      </w:pPr>
      <w:r>
        <w:t>biblioteca estándar de Python.</w:t>
      </w:r>
    </w:p>
    <w:p>
      <w:pPr>
        <w:pStyle w:val="Heading2"/>
        <w:keepNext/>
        <w:spacing w:before="200" w:after="80"/>
      </w:pPr>
      <w:r>
        <w:t>11.2 Prohibidas</w:t>
      </w:r>
    </w:p>
    <w:p>
      <w:pPr>
        <w:pStyle w:val="ListBullet"/>
      </w:pPr>
      <w:r>
        <w:t>Strategy Evaluation como dependencia del dominio Knowledge;</w:t>
      </w:r>
    </w:p>
    <w:p>
      <w:pPr>
        <w:pStyle w:val="ListBullet"/>
      </w:pPr>
      <w:r>
        <w:t>Research, Data, Risk, Portfolio o Execution;</w:t>
      </w:r>
    </w:p>
    <w:p>
      <w:pPr>
        <w:pStyle w:val="ListBullet"/>
      </w:pPr>
      <w:r>
        <w:t>APIs externas;</w:t>
      </w:r>
    </w:p>
    <w:p>
      <w:pPr>
        <w:pStyle w:val="ListBullet"/>
      </w:pPr>
      <w:r>
        <w:t>bases de datos, ORM o frameworks nuevos;</w:t>
      </w:r>
    </w:p>
    <w:p>
      <w:pPr>
        <w:pStyle w:val="ListBullet"/>
      </w:pPr>
      <w:r>
        <w:t>acceso del consumidor a registries internos;</w:t>
      </w:r>
    </w:p>
    <w:p>
      <w:pPr>
        <w:pStyle w:val="ListBullet"/>
      </w:pPr>
      <w:r>
        <w:t>dependencias añadidas sin aprobación arquitectónica.</w:t>
      </w:r>
    </w:p>
    <w:p>
      <w:pPr>
        <w:pStyle w:val="Heading1"/>
        <w:keepNext/>
        <w:spacing w:before="200" w:after="80"/>
      </w:pPr>
      <w:r>
        <w:t>12. Componentes mínimos esperados</w:t>
      </w:r>
    </w:p>
    <w:p>
      <w:r>
        <w:t>La implementación deberá modificar o crear únicamente los componentes mínimos necesarios para incorporar la operación resolve(). La estructura concreta será decidida por el agente dentro del patrón vigente del repositorio.</w:t>
      </w:r>
    </w:p>
    <w:p>
      <w:r>
        <w:t>Como mínimo deberá existir:</w:t>
      </w:r>
    </w:p>
    <w:p>
      <w:pPr>
        <w:pStyle w:val="ListBullet"/>
      </w:pPr>
      <w:r>
        <w:t>una operación pública resolve() en KnowledgeConsumptionAccess;</w:t>
      </w:r>
    </w:p>
    <w:p>
      <w:pPr>
        <w:pStyle w:val="ListBullet"/>
      </w:pPr>
      <w:r>
        <w:t>un mecanismo interno capaz de localizar exactamente una versión histórica;</w:t>
      </w:r>
    </w:p>
    <w:p>
      <w:pPr>
        <w:pStyle w:val="ListBullet"/>
      </w:pPr>
      <w:r>
        <w:t>errores de dominio para fallos de resolución;</w:t>
      </w:r>
    </w:p>
    <w:p>
      <w:pPr>
        <w:pStyle w:val="ListBullet"/>
      </w:pPr>
      <w:r>
        <w:t>pruebas unitarias focalizadas;</w:t>
      </w:r>
    </w:p>
    <w:p>
      <w:pPr>
        <w:pStyle w:val="ListBullet"/>
      </w:pPr>
      <w:r>
        <w:t>un script demostrativo determinista o la extensión mínima de una demostración existente.</w:t>
      </w:r>
    </w:p>
    <w:p>
      <w:r>
        <w:t>No se requiere crear un nuevo subdominio, servicio de aplicación, repositorio externo ni Value Object adicional salvo necesidad técnica demostrada.</w:t>
      </w:r>
    </w:p>
    <w:p>
      <w:pPr>
        <w:pStyle w:val="Heading1"/>
        <w:keepNext/>
        <w:spacing w:before="200" w:after="80"/>
      </w:pPr>
      <w:r>
        <w:t>13. Flujo obligatorio</w:t>
      </w:r>
    </w:p>
    <w:p>
      <w:pPr>
        <w:pStyle w:val="ListNumber"/>
      </w:pPr>
      <w:r>
        <w:t>Recibir knowledge_id y knowledge_version.</w:t>
      </w:r>
    </w:p>
    <w:p>
      <w:pPr>
        <w:pStyle w:val="ListNumber"/>
      </w:pPr>
      <w:r>
        <w:t>Validar y normalizar ambos valores.</w:t>
      </w:r>
    </w:p>
    <w:p>
      <w:pPr>
        <w:pStyle w:val="ListNumber"/>
      </w:pPr>
      <w:r>
        <w:t>Consultar exclusivamente la frontera o mecanismo interno autorizado del dominio Knowledge.</w:t>
      </w:r>
    </w:p>
    <w:p>
      <w:pPr>
        <w:pStyle w:val="ListNumber"/>
      </w:pPr>
      <w:r>
        <w:t>Localizar exactamente la versión solicitada.</w:t>
      </w:r>
    </w:p>
    <w:p>
      <w:pPr>
        <w:pStyle w:val="ListNumber"/>
      </w:pPr>
      <w:r>
        <w:t>Verificar que la versión sea pública y consumible.</w:t>
      </w:r>
    </w:p>
    <w:p>
      <w:pPr>
        <w:pStyle w:val="ListNumber"/>
      </w:pPr>
      <w:r>
        <w:t>Construir o recuperar el KnowledgeConsumptionRecord correspondiente.</w:t>
      </w:r>
    </w:p>
    <w:p>
      <w:pPr>
        <w:pStyle w:val="ListNumber"/>
      </w:pPr>
      <w:r>
        <w:t>Verificar que el record devuelto coincide exactamente con knowledge_id y knowledge_version.</w:t>
      </w:r>
    </w:p>
    <w:p>
      <w:pPr>
        <w:pStyle w:val="ListNumber"/>
      </w:pPr>
      <w:r>
        <w:t>Retornar el record sin modificar ningún artefacto.</w:t>
      </w:r>
    </w:p>
    <w:p>
      <w:pPr>
        <w:pStyle w:val="Heading1"/>
        <w:keepNext/>
        <w:spacing w:before="200" w:after="80"/>
      </w:pPr>
      <w:r>
        <w:t>14. Invariantes arquitectónicos</w:t>
      </w:r>
    </w:p>
    <w:p>
      <w:r>
        <w:rPr>
          <w:b/>
        </w:rPr>
        <w:t>INV-026-007-001</w:t>
      </w:r>
      <w:r>
        <w:br/>
        <w:t>resolve() siempre utiliza el par completo (knowledge_id, knowledge_version).</w:t>
      </w:r>
    </w:p>
    <w:p>
      <w:r>
        <w:rPr>
          <w:b/>
        </w:rPr>
        <w:t>INV-026-007-002</w:t>
      </w:r>
      <w:r>
        <w:br/>
        <w:t>La versión devuelta coincide exactamente con la versión solicitada.</w:t>
      </w:r>
    </w:p>
    <w:p>
      <w:r>
        <w:rPr>
          <w:b/>
        </w:rPr>
        <w:t>INV-026-007-003</w:t>
      </w:r>
      <w:r>
        <w:br/>
        <w:t>Ninguna operación de resolución modifica Knowledge ni artefactos asociados.</w:t>
      </w:r>
    </w:p>
    <w:p>
      <w:r>
        <w:rPr>
          <w:b/>
        </w:rPr>
        <w:t>INV-026-007-004</w:t>
      </w:r>
      <w:r>
        <w:br/>
        <w:t>Los consumidores no acceden a registries o servicios internos.</w:t>
      </w:r>
    </w:p>
    <w:p>
      <w:r>
        <w:rPr>
          <w:b/>
        </w:rPr>
        <w:t>INV-026-007-005</w:t>
      </w:r>
      <w:r>
        <w:br/>
        <w:t>Las versiones históricas publicadas permanecen resolubles.</w:t>
      </w:r>
    </w:p>
    <w:p>
      <w:r>
        <w:rPr>
          <w:b/>
        </w:rPr>
        <w:t>INV-026-007-006</w:t>
      </w:r>
      <w:r>
        <w:br/>
        <w:t>get() y resolve() conservan semánticas separadas.</w:t>
      </w:r>
    </w:p>
    <w:p>
      <w:r>
        <w:rPr>
          <w:b/>
        </w:rPr>
        <w:t>INV-026-007-007</w:t>
      </w:r>
      <w:r>
        <w:br/>
        <w:t>La resolución no selecciona automáticamente una versión.</w:t>
      </w:r>
    </w:p>
    <w:p>
      <w:r>
        <w:rPr>
          <w:b/>
        </w:rPr>
        <w:t>INV-026-007-008</w:t>
      </w:r>
      <w:r>
        <w:br/>
        <w:t>El dominio Knowledge no depende de Strategy Evaluation.</w:t>
      </w:r>
    </w:p>
    <w:p>
      <w:r>
        <w:rPr>
          <w:b/>
        </w:rPr>
        <w:t>INV-026-007-009</w:t>
      </w:r>
      <w:r>
        <w:br/>
        <w:t>El record expuesto es público, estable e inmutable.</w:t>
      </w:r>
    </w:p>
    <w:p>
      <w:r>
        <w:rPr>
          <w:b/>
        </w:rPr>
        <w:t>INV-026-007-010</w:t>
      </w:r>
      <w:r>
        <w:br/>
        <w:t>La misma solicitud produce un resultado equivalente y reproducible.</w:t>
      </w:r>
    </w:p>
    <w:p>
      <w:pPr>
        <w:pStyle w:val="Heading1"/>
        <w:keepNext/>
        <w:spacing w:before="200" w:after="80"/>
      </w:pPr>
      <w:r>
        <w:t>15. Casos mínimos de prueba</w:t>
      </w:r>
    </w:p>
    <w:p>
      <w:pPr>
        <w:pStyle w:val="ListNumber"/>
      </w:pPr>
      <w:r>
        <w:t>T-001 — Resolución correcta de la primera versión publicada.</w:t>
      </w:r>
    </w:p>
    <w:p>
      <w:pPr>
        <w:pStyle w:val="ListNumber"/>
      </w:pPr>
      <w:r>
        <w:t>T-002 — Resolución correcta de una versión histórica después de existir una versión posterior.</w:t>
      </w:r>
    </w:p>
    <w:p>
      <w:pPr>
        <w:pStyle w:val="ListNumber"/>
      </w:pPr>
      <w:r>
        <w:t>T-003 — Resolución correcta de la versión más reciente mediante resolve().</w:t>
      </w:r>
    </w:p>
    <w:p>
      <w:pPr>
        <w:pStyle w:val="ListNumber"/>
      </w:pPr>
      <w:r>
        <w:t>T-004 — Rechazo de knowledge_id vacío, no string o compuesto solo por espacios.</w:t>
      </w:r>
    </w:p>
    <w:p>
      <w:pPr>
        <w:pStyle w:val="ListNumber"/>
      </w:pPr>
      <w:r>
        <w:t>T-005 — Rechazo de knowledge_version vacía, no string o compuesta solo por espacios.</w:t>
      </w:r>
    </w:p>
    <w:p>
      <w:pPr>
        <w:pStyle w:val="ListNumber"/>
      </w:pPr>
      <w:r>
        <w:t>T-006 — Normalización mediante strip() de ambos identificadores.</w:t>
      </w:r>
    </w:p>
    <w:p>
      <w:pPr>
        <w:pStyle w:val="ListNumber"/>
      </w:pPr>
      <w:r>
        <w:t>T-007 — Rechazo de Knowledge inexistente.</w:t>
      </w:r>
    </w:p>
    <w:p>
      <w:pPr>
        <w:pStyle w:val="ListNumber"/>
      </w:pPr>
      <w:r>
        <w:t>T-008 — Rechazo de versión inexistente para un Knowledge existente.</w:t>
      </w:r>
    </w:p>
    <w:p>
      <w:pPr>
        <w:pStyle w:val="ListNumber"/>
      </w:pPr>
      <w:r>
        <w:t>T-009 — Rechazo de una versión no publicada o no consumible.</w:t>
      </w:r>
    </w:p>
    <w:p>
      <w:pPr>
        <w:pStyle w:val="ListNumber"/>
      </w:pPr>
      <w:r>
        <w:t>T-010 — Verificación de coincidencia exacta entre solicitud y record retornado.</w:t>
      </w:r>
    </w:p>
    <w:p>
      <w:pPr>
        <w:pStyle w:val="ListNumber"/>
      </w:pPr>
      <w:r>
        <w:t>T-011 — Verificación de que no se devuelve silenciosamente otra versión.</w:t>
      </w:r>
    </w:p>
    <w:p>
      <w:pPr>
        <w:pStyle w:val="ListNumber"/>
      </w:pPr>
      <w:r>
        <w:t>T-012 — Inmutabilidad del KnowledgeConsumptionRecord retornado.</w:t>
      </w:r>
    </w:p>
    <w:p>
      <w:pPr>
        <w:pStyle w:val="ListNumber"/>
      </w:pPr>
      <w:r>
        <w:t>T-013 — Preservación íntegra de las versiones registradas.</w:t>
      </w:r>
    </w:p>
    <w:p>
      <w:pPr>
        <w:pStyle w:val="ListNumber"/>
      </w:pPr>
      <w:r>
        <w:t>T-014 — Determinismo y equivalencia de dos resoluciones del mismo par.</w:t>
      </w:r>
    </w:p>
    <w:p>
      <w:pPr>
        <w:pStyle w:val="ListNumber"/>
      </w:pPr>
      <w:r>
        <w:t>T-015 — Compatibilidad de get(), exists() y list() después de incorporar resolve().</w:t>
      </w:r>
    </w:p>
    <w:p>
      <w:pPr>
        <w:pStyle w:val="ListNumber"/>
      </w:pPr>
      <w:r>
        <w:t>T-016 — Ausencia de imports hacia Strategy Evaluation y otros dominios prohibidos.</w:t>
      </w:r>
    </w:p>
    <w:p>
      <w:pPr>
        <w:pStyle w:val="Heading1"/>
        <w:keepNext/>
        <w:spacing w:before="200" w:after="80"/>
      </w:pPr>
      <w:r>
        <w:t>16. Demostración funcional</w:t>
      </w:r>
    </w:p>
    <w:p>
      <w:r>
        <w:t>La implementación deberá demostrar, mediante datos locales y deterministas, el siguiente escenario:</w:t>
      </w:r>
    </w:p>
    <w:p>
      <w:pPr>
        <w:pStyle w:val="CodeBlock"/>
      </w:pPr>
      <w:r>
        <w:t>Knowledge K-001 / V1 publicado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>Knowledge K-001 / V2 evolucionado y publicado</w:t>
      </w:r>
      <w:r>
        <w:br/>
      </w:r>
      <w:r>
        <w:t xml:space="preserve">        │</w:t>
      </w:r>
      <w:r>
        <w:br/>
      </w:r>
      <w:r>
        <w:t xml:space="preserve">        ├── resolve(K-001, V1) → V1</w:t>
      </w:r>
      <w:r>
        <w:br/>
      </w:r>
      <w:r>
        <w:t xml:space="preserve">        │</w:t>
      </w:r>
      <w:r>
        <w:br/>
      </w:r>
      <w:r>
        <w:t xml:space="preserve">        └── resolve(K-001, V2) → V2</w:t>
      </w:r>
    </w:p>
    <w:p>
      <w:r>
        <w:t>La demostración deberá confirmar que la publicación de V2 no impide recuperar V1.</w:t>
      </w:r>
    </w:p>
    <w:p>
      <w:r>
        <w:t>No deberá usar red, proveedores externos, almacenamiento permanente ni componentes de Strategy Evaluation.</w:t>
      </w:r>
    </w:p>
    <w:p>
      <w:pPr>
        <w:pStyle w:val="Heading1"/>
        <w:keepNext/>
        <w:spacing w:before="200" w:after="80"/>
      </w:pPr>
      <w:r>
        <w:t>17. Compatibilidad con IT anteriores</w:t>
      </w:r>
    </w:p>
    <w:p>
      <w:pPr>
        <w:pStyle w:val="ListBullet"/>
      </w:pPr>
      <w:r>
        <w:t>IT-026-005 permanece como frontera pública de consumo y recibe una operación adicional.</w:t>
      </w:r>
    </w:p>
    <w:p>
      <w:pPr>
        <w:pStyle w:val="ListBullet"/>
      </w:pPr>
      <w:r>
        <w:t>IT-026-006 conserva la responsabilidad exclusiva de crear y encadenar versiones.</w:t>
      </w:r>
    </w:p>
    <w:p>
      <w:pPr>
        <w:pStyle w:val="ListBullet"/>
      </w:pPr>
      <w:r>
        <w:t>Confidence y Relationships no se recalculan ni se modifican durante la resolución.</w:t>
      </w:r>
    </w:p>
    <w:p>
      <w:pPr>
        <w:pStyle w:val="ListBullet"/>
      </w:pPr>
      <w:r>
        <w:t>Las versiones existentes no requieren mutación para ser consumidas históricamente.</w:t>
      </w:r>
    </w:p>
    <w:p>
      <w:pPr>
        <w:pStyle w:val="ListBullet"/>
      </w:pPr>
      <w:r>
        <w:t>Los consumidores actuales que usan get(), exists() o list() no deben romperse.</w:t>
      </w:r>
    </w:p>
    <w:p>
      <w:pPr>
        <w:pStyle w:val="Heading1"/>
        <w:keepNext/>
        <w:spacing w:before="200" w:after="80"/>
      </w:pPr>
      <w:r>
        <w:t>18. Relación con IT-027-002</w:t>
      </w:r>
    </w:p>
    <w:p>
      <w:r>
        <w:t>Este IT habilita el contrato requerido por Strategy Evaluation:</w:t>
      </w:r>
    </w:p>
    <w:p>
      <w:pPr>
        <w:pStyle w:val="CodeBlock"/>
      </w:pPr>
      <w:r>
        <w:t>KnowledgeConsumptionAccess.resolve(</w:t>
      </w:r>
      <w:r>
        <w:br/>
      </w:r>
      <w:r>
        <w:t xml:space="preserve">    knowledge_id,</w:t>
      </w:r>
      <w:r>
        <w:br/>
      </w:r>
      <w:r>
        <w:t xml:space="preserve">    knowledge_version,</w:t>
      </w:r>
      <w:r>
        <w:br/>
      </w:r>
      <w:r>
        <w:t>)</w:t>
      </w:r>
    </w:p>
    <w:p>
      <w:r>
        <w:t>Después de aceptar IT-026-007, IT-027-002 deberá sustituir la consulta get(knowledge_id) seguida de comparación de versión por una resolución exacta del par. Esa corrección pertenece a IT-027-002 y no debe implementarse dentro de este incremento.</w:t>
      </w:r>
    </w:p>
    <w:p>
      <w:pPr>
        <w:pStyle w:val="Heading1"/>
        <w:keepNext/>
        <w:spacing w:before="200" w:after="80"/>
      </w:pPr>
      <w:r>
        <w:t>19. Fuera de alcance</w:t>
      </w:r>
    </w:p>
    <w:p>
      <w:pPr>
        <w:pStyle w:val="ListBullet"/>
      </w:pPr>
      <w:r>
        <w:t>definir cuál versión está vigente;</w:t>
      </w:r>
    </w:p>
    <w:p>
      <w:pPr>
        <w:pStyle w:val="ListBullet"/>
      </w:pPr>
      <w:r>
        <w:t>marcar versiones como activas, obsoletas, depreciadas o retiradas;</w:t>
      </w:r>
    </w:p>
    <w:p>
      <w:pPr>
        <w:pStyle w:val="ListBullet"/>
      </w:pPr>
      <w:r>
        <w:t>comparar contenido entre versiones;</w:t>
      </w:r>
    </w:p>
    <w:p>
      <w:pPr>
        <w:pStyle w:val="ListBullet"/>
      </w:pPr>
      <w:r>
        <w:t>resolver rangos o versiones compatibles;</w:t>
      </w:r>
    </w:p>
    <w:p>
      <w:pPr>
        <w:pStyle w:val="ListBullet"/>
      </w:pPr>
      <w:r>
        <w:t>alias de versiones como latest;</w:t>
      </w:r>
    </w:p>
    <w:p>
      <w:pPr>
        <w:pStyle w:val="ListBullet"/>
      </w:pPr>
      <w:r>
        <w:t>políticas de retención;</w:t>
      </w:r>
    </w:p>
    <w:p>
      <w:pPr>
        <w:pStyle w:val="ListBullet"/>
      </w:pPr>
      <w:r>
        <w:t>eliminación física;</w:t>
      </w:r>
    </w:p>
    <w:p>
      <w:pPr>
        <w:pStyle w:val="ListBullet"/>
      </w:pPr>
      <w:r>
        <w:t>migración automática de referencias;</w:t>
      </w:r>
    </w:p>
    <w:p>
      <w:pPr>
        <w:pStyle w:val="ListBullet"/>
      </w:pPr>
      <w:r>
        <w:t>cache o índices de rendimiento;</w:t>
      </w:r>
    </w:p>
    <w:p>
      <w:pPr>
        <w:pStyle w:val="ListBullet"/>
      </w:pPr>
      <w:r>
        <w:t>optimización y automatización.</w:t>
      </w:r>
    </w:p>
    <w:p>
      <w:pPr>
        <w:pStyle w:val="Heading1"/>
        <w:keepNext/>
        <w:spacing w:before="200" w:after="80"/>
      </w:pPr>
      <w:r>
        <w:t>20. Criterios de aceptación</w:t>
      </w:r>
    </w:p>
    <w:p>
      <w:r>
        <w:rPr>
          <w:b/>
        </w:rPr>
        <w:t>F-001</w:t>
      </w:r>
      <w:r>
        <w:br/>
        <w:t>KnowledgeConsumptionAccess expone resolve(knowledge_id, knowledge_version).</w:t>
      </w:r>
    </w:p>
    <w:p>
      <w:r>
        <w:rPr>
          <w:b/>
        </w:rPr>
        <w:t>F-002</w:t>
      </w:r>
      <w:r>
        <w:br/>
        <w:t>Puede recuperarse una versión histórica exacta después de existir una versión posterior.</w:t>
      </w:r>
    </w:p>
    <w:p>
      <w:r>
        <w:rPr>
          <w:b/>
        </w:rPr>
        <w:t>F-003</w:t>
      </w:r>
      <w:r>
        <w:br/>
        <w:t>La salida es un KnowledgeConsumptionRecord público e inmutable.</w:t>
      </w:r>
    </w:p>
    <w:p>
      <w:r>
        <w:rPr>
          <w:b/>
        </w:rPr>
        <w:t>F-004</w:t>
      </w:r>
      <w:r>
        <w:br/>
        <w:t>Las solicitudes inexistentes o no consumibles fallan explícitamente.</w:t>
      </w:r>
    </w:p>
    <w:p>
      <w:r>
        <w:rPr>
          <w:b/>
        </w:rPr>
        <w:t>A-001</w:t>
      </w:r>
      <w:r>
        <w:br/>
        <w:t>No existen dependencias desde Knowledge hacia Strategy Evaluation.</w:t>
      </w:r>
    </w:p>
    <w:p>
      <w:r>
        <w:rPr>
          <w:b/>
        </w:rPr>
        <w:t>A-002</w:t>
      </w:r>
      <w:r>
        <w:br/>
        <w:t>Los consumidores no acceden a componentes internos.</w:t>
      </w:r>
    </w:p>
    <w:p>
      <w:r>
        <w:rPr>
          <w:b/>
        </w:rPr>
        <w:t>A-003</w:t>
      </w:r>
      <w:r>
        <w:br/>
        <w:t>get() y resolve() mantienen contratos separados y compatibles.</w:t>
      </w:r>
    </w:p>
    <w:p>
      <w:r>
        <w:rPr>
          <w:b/>
        </w:rPr>
        <w:t>A-004</w:t>
      </w:r>
      <w:r>
        <w:br/>
        <w:t>No se modifican versiones ni artefactos asociados.</w:t>
      </w:r>
    </w:p>
    <w:p>
      <w:r>
        <w:rPr>
          <w:b/>
        </w:rPr>
        <w:t>Q-001</w:t>
      </w:r>
      <w:r>
        <w:br/>
        <w:t>La suite focalizada del dominio Knowledge pasa completamente.</w:t>
      </w:r>
    </w:p>
    <w:p>
      <w:r>
        <w:rPr>
          <w:b/>
        </w:rPr>
        <w:t>Q-002</w:t>
      </w:r>
      <w:r>
        <w:br/>
        <w:t>La suite completa del proyecto no presenta regresiones.</w:t>
      </w:r>
    </w:p>
    <w:p>
      <w:r>
        <w:rPr>
          <w:b/>
        </w:rPr>
        <w:t>Q-003</w:t>
      </w:r>
      <w:r>
        <w:br/>
        <w:t>Ruff y git diff --check pasan.</w:t>
      </w:r>
    </w:p>
    <w:p>
      <w:r>
        <w:rPr>
          <w:b/>
        </w:rPr>
        <w:t>Q-004</w:t>
      </w:r>
      <w:r>
        <w:br/>
        <w:t>La demostración determinista pasa.</w:t>
      </w:r>
    </w:p>
    <w:p>
      <w:r>
        <w:rPr>
          <w:b/>
        </w:rPr>
        <w:t>Q-005</w:t>
      </w:r>
      <w:r>
        <w:br/>
        <w:t>El análisis de imports confirma ausencia de dependencias prohibidas.</w:t>
      </w:r>
    </w:p>
    <w:p>
      <w:pPr>
        <w:pStyle w:val="Heading1"/>
        <w:keepNext/>
        <w:spacing w:before="200" w:after="80"/>
      </w:pPr>
      <w:r>
        <w:t>21. Evidencia requerida al Agente de Implementación</w:t>
      </w:r>
    </w:p>
    <w:p>
      <w:r>
        <w:t>El agente deberá entregar:</w:t>
      </w:r>
    </w:p>
    <w:p>
      <w:pPr>
        <w:pStyle w:val="ListBullet"/>
      </w:pPr>
      <w:r>
        <w:t>inventario de archivos creados y modificados;</w:t>
      </w:r>
    </w:p>
    <w:p>
      <w:pPr>
        <w:pStyle w:val="ListBullet"/>
      </w:pPr>
      <w:r>
        <w:t>resumen del contrato implementado;</w:t>
      </w:r>
    </w:p>
    <w:p>
      <w:pPr>
        <w:pStyle w:val="ListBullet"/>
      </w:pPr>
      <w:r>
        <w:t>explicación de cómo se localiza la versión exacta sin exponer componentes internos;</w:t>
      </w:r>
    </w:p>
    <w:p>
      <w:pPr>
        <w:pStyle w:val="ListBullet"/>
      </w:pPr>
      <w:r>
        <w:t>resultado de pruebas focalizadas del dominio Knowledge;</w:t>
      </w:r>
    </w:p>
    <w:p>
      <w:pPr>
        <w:pStyle w:val="ListBullet"/>
      </w:pPr>
      <w:r>
        <w:t>resultado de la suite completa;</w:t>
      </w:r>
    </w:p>
    <w:p>
      <w:pPr>
        <w:pStyle w:val="ListBullet"/>
      </w:pPr>
      <w:r>
        <w:t>resultado de Ruff;</w:t>
      </w:r>
    </w:p>
    <w:p>
      <w:pPr>
        <w:pStyle w:val="ListBullet"/>
      </w:pPr>
      <w:r>
        <w:t>resultado de git diff --check;</w:t>
      </w:r>
    </w:p>
    <w:p>
      <w:pPr>
        <w:pStyle w:val="ListBullet"/>
      </w:pPr>
      <w:r>
        <w:t>resultado del análisis de imports prohibidos;</w:t>
      </w:r>
    </w:p>
    <w:p>
      <w:pPr>
        <w:pStyle w:val="ListBullet"/>
      </w:pPr>
      <w:r>
        <w:t>salida de la demostración funcional;</w:t>
      </w:r>
    </w:p>
    <w:p>
      <w:pPr>
        <w:pStyle w:val="ListBullet"/>
      </w:pPr>
      <w:r>
        <w:t>incidencias o contradicciones detectadas.</w:t>
      </w:r>
    </w:p>
    <w:p>
      <w:pPr>
        <w:pStyle w:val="Heading1"/>
        <w:keepNext/>
        <w:spacing w:before="200" w:after="80"/>
      </w:pPr>
      <w:r>
        <w:t>22. Gestión de inconsistencias</w:t>
      </w:r>
    </w:p>
    <w:p>
      <w:r>
        <w:t>Si durante la implementación aparece conflicto entre este IT, DOC-026, IT-026-005, IT-026-006, DOC-027, IT-027-002 o el contrato existente, el agente deberá:</w:t>
      </w:r>
    </w:p>
    <w:p>
      <w:pPr>
        <w:pStyle w:val="ListNumber"/>
      </w:pPr>
      <w:r>
        <w:t>detener únicamente los cambios afectados;</w:t>
      </w:r>
    </w:p>
    <w:p>
      <w:pPr>
        <w:pStyle w:val="ListNumber"/>
      </w:pPr>
      <w:r>
        <w:t>documentar la inconsistencia con evidencia;</w:t>
      </w:r>
    </w:p>
    <w:p>
      <w:pPr>
        <w:pStyle w:val="ListNumber"/>
      </w:pPr>
      <w:r>
        <w:t>solicitar decisión arquitectónica;</w:t>
      </w:r>
    </w:p>
    <w:p>
      <w:pPr>
        <w:pStyle w:val="ListNumber"/>
      </w:pPr>
      <w:r>
        <w:t>no modificar contratos ni ampliar alcance unilateralmente.</w:t>
      </w:r>
    </w:p>
    <w:p>
      <w:pPr>
        <w:pStyle w:val="Heading1"/>
        <w:keepNext/>
        <w:spacing w:before="200" w:after="80"/>
      </w:pPr>
      <w:r>
        <w:t>23. Orden de implementación</w:t>
      </w:r>
    </w:p>
    <w:p>
      <w:pPr>
        <w:pStyle w:val="ListNumber"/>
      </w:pPr>
      <w:r>
        <w:t>Confirmar el contrato público actual de KnowledgeConsumptionAccess y KnowledgeConsumptionRecord.</w:t>
      </w:r>
    </w:p>
    <w:p>
      <w:pPr>
        <w:pStyle w:val="ListNumber"/>
      </w:pPr>
      <w:r>
        <w:t>Identificar el mecanismo interno vigente para localizar versiones producidas por IT-026-006.</w:t>
      </w:r>
    </w:p>
    <w:p>
      <w:pPr>
        <w:pStyle w:val="ListNumber"/>
      </w:pPr>
      <w:r>
        <w:t>Incorporar resolve() sin modificar la semántica de get(), exists() y list().</w:t>
      </w:r>
    </w:p>
    <w:p>
      <w:pPr>
        <w:pStyle w:val="ListNumber"/>
      </w:pPr>
      <w:r>
        <w:t>Añadir errores de dominio mínimos.</w:t>
      </w:r>
    </w:p>
    <w:p>
      <w:pPr>
        <w:pStyle w:val="ListNumber"/>
      </w:pPr>
      <w:r>
        <w:t>Implementar pruebas unitarias antes de integrar con otros dominios.</w:t>
      </w:r>
    </w:p>
    <w:p>
      <w:pPr>
        <w:pStyle w:val="ListNumber"/>
      </w:pPr>
      <w:r>
        <w:t>Crear o extender una demostración local determinista.</w:t>
      </w:r>
    </w:p>
    <w:p>
      <w:pPr>
        <w:pStyle w:val="ListNumber"/>
      </w:pPr>
      <w:r>
        <w:t>Ejecutar validaciones focalizadas y completas.</w:t>
      </w:r>
    </w:p>
    <w:p>
      <w:pPr>
        <w:pStyle w:val="ListNumber"/>
      </w:pPr>
      <w:r>
        <w:t>Entregar evidencia; no modificar todavía Strategy Evaluation.</w:t>
      </w:r>
    </w:p>
    <w:p>
      <w:pPr>
        <w:pStyle w:val="Heading1"/>
        <w:keepNext/>
        <w:spacing w:before="200" w:after="80"/>
      </w:pPr>
      <w:r>
        <w:t>24. Commit esperado</w:t>
      </w:r>
    </w:p>
    <w:p>
      <w:pPr>
        <w:pStyle w:val="CodeBlock"/>
      </w:pPr>
      <w:r>
        <w:t>feat(knowledge): add historical version resolution</w:t>
      </w:r>
    </w:p>
    <w:p>
      <w:pPr>
        <w:pStyle w:val="Heading1"/>
        <w:keepNext/>
        <w:spacing w:before="200" w:after="80"/>
      </w:pPr>
      <w:r>
        <w:t>25. Declaración final</w:t>
      </w:r>
    </w:p>
    <w:p>
      <w:r>
        <w:t>IT-026-007 completa la frontera mínima necesaria para convertir la permanencia histórica definida por IT-026-006 en una capacidad realmente consumible y reproducible. No amplía el ciclo de vida de Knowledge ni interpreta sus versiones; únicamente garantiza que un consumidor autorizado pueda recuperar exactamente la publicación que referencia.</w:t>
      </w:r>
    </w:p>
    <w:p>
      <w:r>
        <w:t>Con este incremento, la secuencia arquitectónica queda preparada para corregir y cerrar IT-027-002 sin acoplar Strategy Evaluation a la implementación interna de Knowledge.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IT-026-007 | TramitaGO Quant Platform | Versión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432" w:right="43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IT-026-007 — Knowledge Version Resolution MVP</dc:title>
  <dc:subject>Especificación normativa de implementación</dc:subject>
  <dc:creator>TramitaGO Quant Platform</dc:creator>
  <cp:keywords>Knowledge, version resolution, historical consumption,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