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7iw1p5b0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DOC-033 — Portfolio Transition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013fdagi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DOC-033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Portfolio Transition Capability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o1hexxtqx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Propósito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</w:t>
      </w:r>
      <w:r w:rsidDel="00000000" w:rsidR="00000000" w:rsidRPr="00000000">
        <w:rPr>
          <w:b w:val="1"/>
          <w:bCs w:val="1"/>
          <w:rtl w:val="0"/>
        </w:rPr>
        <w:t xml:space="preserve">Portfolio Transition</w:t>
      </w:r>
      <w:r w:rsidDel="00000000" w:rsidR="00000000" w:rsidRPr="00000000">
        <w:rPr>
          <w:rtl w:val="0"/>
        </w:rPr>
        <w:t xml:space="preserve"> tiene como propósito transformar el estado actual del portafolio y el estado objetivo previamente determinado en una representación contractual de la transformación del dominio necesaria para convertir uno en otro.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Capability constituye la frontera arquitectónica entre la determinación del estado objetivo del portafolio y su posterior materialización operacional.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 limita exclusivamente al dominio de inversión.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estados objetivo.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operaciones.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interactúa con brokers, mercados o infraestructura.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único propósito consiste en publicar la transformación del dominio requerida para que una Capability posterior pueda iniciar la ejecución operacional sin reinterpretar responsabilidades previamente ejercidas.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fhziwjsna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Responsabilidad Arquitectónica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arquitectónica de </w:t>
      </w:r>
      <w:r w:rsidDel="00000000" w:rsidR="00000000" w:rsidRPr="00000000">
        <w:rPr>
          <w:b w:val="1"/>
          <w:bCs w:val="1"/>
          <w:rtl w:val="0"/>
        </w:rPr>
        <w:t xml:space="preserve">Portfolio Transition</w:t>
      </w:r>
      <w:r w:rsidDel="00000000" w:rsidR="00000000" w:rsidRPr="00000000">
        <w:rPr>
          <w:rtl w:val="0"/>
        </w:rPr>
        <w:t xml:space="preserve"> consiste exclusivamente en determinar y publicar la transformación autorizada del dominio necesaria para convertir un estado actual válido del portafolio en el estado objetivo previamente determinado por la Capability Portfolio.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comienza cuando existen simultáneamente: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contexto de dominio correspondiente al estado actual del portafolio;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arquitectónicamente válido.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finaliza inmediatamente después de publicar el contrato público correspondiente a la transformación del portafolio.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Capability: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determina el estado objetivo;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el estado actual;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 decisiones de inversión;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evalúa riesgo;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ejecuta operaciones;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interactúa con infraestructura.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j0mtavvmm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Capability comprende exclusivamente: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consumir el estado actual del portafolio como contexto de dominio;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la transformación del dominio necesaria entre ambos estados;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dicha transformación mediante un contrato público de dominio.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Capability no comprende: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determinación del estado objetivo del portafolio;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órdenes;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operacional;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operaciones;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brokers;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mercados;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ejecución;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monitorización de órdenes.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15gn8gzk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Contratos Públicos de Entrada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</w:t>
      </w:r>
      <w:r w:rsidDel="00000000" w:rsidR="00000000" w:rsidRPr="00000000">
        <w:rPr>
          <w:b w:val="1"/>
          <w:bCs w:val="1"/>
          <w:rtl w:val="0"/>
        </w:rPr>
        <w:t xml:space="preserve">Portfolio Transition</w:t>
      </w:r>
      <w:r w:rsidDel="00000000" w:rsidR="00000000" w:rsidRPr="00000000">
        <w:rPr>
          <w:rtl w:val="0"/>
        </w:rPr>
        <w:t xml:space="preserve"> consume exclusivamente un único contrato público producido por otra Capability.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público de entrada corresponde al </w:t>
      </w:r>
      <w:r w:rsidDel="00000000" w:rsidR="00000000" w:rsidRPr="00000000">
        <w:rPr>
          <w:b w:val="1"/>
          <w:bCs w:val="1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, publicado por la Capability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representa el estado objetivo del portafolio previamente determinado y constituye la única entrada contractual autorizada de la Capability.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no consumirá contratos privados ni representaciones internas pertenecientes a otras Capabilities.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futura deberá preservar la estabilidad contractual de esta frontera arquitectónica.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dwusyhbym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Contextos de Dominio de Entrada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contrato público consumido, Portfolio Transition requiere un único contexto de dominio correspondiente al estado actual del portafolio.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Current Portfolio State</w:t>
      </w:r>
      <w:r w:rsidDel="00000000" w:rsidR="00000000" w:rsidRPr="00000000">
        <w:rPr>
          <w:rtl w:val="0"/>
        </w:rPr>
        <w:t xml:space="preserve"> representa la realidad existente del dominio en el momento en que la Capability ejerce su responsabilidad.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contexto: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constituye un contrato público;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publicado por ninguna Capability;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su naturaleza arquitectónica por el hecho de ser consumido;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 independiente de la Capability Portfolio Transition.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consume dicho contexto exclusivamente como referencia del estado presente del portafolio para determinar la transformación necesaria hacia el estado objetivo.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pe293m1qj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Contrato Público de Salida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publica un único contrato público.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representa exclusivamente la </w:t>
      </w:r>
      <w:r w:rsidDel="00000000" w:rsidR="00000000" w:rsidRPr="00000000">
        <w:rPr>
          <w:b w:val="1"/>
          <w:bCs w:val="1"/>
          <w:rtl w:val="0"/>
        </w:rPr>
        <w:t xml:space="preserve">transformación autorizada del dominio</w:t>
      </w:r>
      <w:r w:rsidDel="00000000" w:rsidR="00000000" w:rsidRPr="00000000">
        <w:rPr>
          <w:rtl w:val="0"/>
        </w:rPr>
        <w:t xml:space="preserve"> necesaria para convertir el estado actual del portafolio en el estado objetivo previamente determinado.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representa un estado del portafolio;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una decisión de inversión;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una evaluación de riesgo;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una orden de mercado;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un plan de ejecución;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instrucciones dirigidas a una infraestructura específica.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constituye el único resultado público autorizado de la Capability y será consumido íntegramente por la Capability Execution.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autorizan contratos públicos adicionales dentro de la presente Capability.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pikvf4o65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Fronteras Arquitectónicas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 entrada de Portfolio Transition comienza cuando existen simultáneamente: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contexto de dominio correspondiente al estado actual del portafolio;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arquitectónicamente válido.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 salida finaliza inmediatamente después de publicar el contrato público correspondiente a la transformación autorizada del portafolio.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no ejercerá responsabilidades pertenecientes a: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Model;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ninguna Capability posterior reinterpretará la transformación del dominio ya determinada por Portfolio Transition.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Capabilities deberá realizarse exclusivamente mediante contratos públicos y contextos de dominio previamente autorizados.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58of7p5wk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Relaciones Arquitectónicas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is15xez0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con Portfolio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determina exclusivamente el estado objetivo del portafolio y publica dicho resultado mediante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consume dicho contrato sin reinterpretar la responsabilidad previamente ejercida por Portfolio.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entre ambas Capabilities queda limitada al consumo del contrato público autorizado.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no participa en la determinación de la transformación del dominio.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3ck16ny1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con Execution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consume exclusivamente el contrato público publicado por Portfolio Transition para iniciar su propia responsabilidad arquitectónica.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determina nuevamente la transformación del dominio.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interpreta el estado objetivo del portafolio.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consume directamente el contexto correspondiente al estado actual del portafolio como parte de la responsabilidad ejercida por Portfolio Transition.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Execution comienza únicamente cuando la transformación autorizada del dominio ha sido completamente determinada y publicada.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sewlsh187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Invariantes Arquitectónicas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</w:t>
      </w:r>
      <w:r w:rsidDel="00000000" w:rsidR="00000000" w:rsidRPr="00000000">
        <w:rPr>
          <w:b w:val="1"/>
          <w:bCs w:val="1"/>
          <w:rtl w:val="0"/>
        </w:rPr>
        <w:t xml:space="preserve">Portfolio Transition</w:t>
      </w:r>
      <w:r w:rsidDel="00000000" w:rsidR="00000000" w:rsidRPr="00000000">
        <w:rPr>
          <w:rtl w:val="0"/>
        </w:rPr>
        <w:t xml:space="preserve"> deberá preservar permanentemente las siguientes propiedades arquitectónicas.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6q858m5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IA-001 — Responsabilidad Única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ejercerá exclusivamente la responsabilidad de determinar y publicar la transformación autorizada del dominio necesaria para convertir el estado actual del portafolio en el estado objetivo previamente determinado.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incorporará responsabilidades pertenecientes a: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Model;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futura deberá preservar esta responsabilidad única.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wq5gdx8in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IA-002 — Contrato Público Único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publicará exclusivamente un único contrato público correspondiente a la transformación autorizada del portafolio.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la incorporación de contratos públicos adicionales que representen parcialmente la misma responsabilidad arquitectónica.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zalez07f9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IA-003 — Independencia Contractual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publicada constituirá un activo contractual independiente.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naturaleza no dependerá: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 mecanismo de ejecución;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 broker utilizado;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infraestructura;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implementación interna de la Capability.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deberá preservar esta independencia.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mo24lf7rp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IA-004 — Frontera Arquitectónica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consumirá exclusivamente: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contexto de dominio correspondiente al estado actual del portafolio.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con otras Capabilities deberá realizarse únicamente mediante dichas fronteras autorizadas.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ab5u9pz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IA-005 — Consumibilidad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publicada deberá ser suficiente para que la Capability Execution pueda iniciar íntegramente su responsabilidad sin reinterpretar responsabilidades pertenecientes a Portfolio Transition.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futura deberá preservar esta propiedad.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8dv7rumc8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Restricciones Arquitectónicas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Portfolio Transition deberá respetar permanentemente las siguientes restricciones.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cpdlls0hy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RA-001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determinar estados objetivo del portafolio.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responsabilidad pertenece exclusivamente a Portfolio.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f7472e7c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RA-002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el contexto correspondiente al estado actual del portafolio.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contexto será consumido exclusivamente como realidad existente del dominio.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abozqgbtq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RA-003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órdenes.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6x2yvcaj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RA-004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planificar la ejecución operacional.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y7i4khlpe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RA-005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interactuar con brokers.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9cr930bz6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RA-006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interactuar con mercados.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tf31gvp6d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RA-007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incorporar infraestructura.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vmshrib7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RA-008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interpretar nuevamente decisiones de inversión.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w8g69b23x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RA-009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evaluar riesgo.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ktbhfmljm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RA-010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 operaciones.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responsabilidades operacionales permanecerán fuera de la presente Capability.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8mnocaddv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Consecuencias Arquitectónicas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Portfolio Transition produce las siguientes consecuencias permanentes sobre la arquitectura del sistema.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qhxp2luz5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CA-001 — Separación de Responsabilidades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determinación del estado objetivo y la determinación de la transformación del dominio pasan a constituir responsabilidades arquitectónicas independientes.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elimina duplicación entre Portfolio y Execution.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x50q9185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CA-002 — Desacoplamiento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deja de depender de: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representación del estado objetivo;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comparación entre estados;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lógica utilizada para determinar la transformación del dominio.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dependerá exclusivamente del contrato público publicado por Portfolio Transition.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n78gyfhj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CA-003 — Evolución Independiente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evolucionar independientemente mientras preserven los contratos públicos definidos por sus respectivas fronteras arquitectónicas.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r6j7j1jl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CA-004 — Estabilidad Contractual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del dominio pasa a constituir un contrato público estable.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futura de la implementación no podrá modificar su naturaleza arquitectónica sin actualizar previamente la documentación correspondiente.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7gin3xrhq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CA-005 — Trazabilidad Arquitectónica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preserva una secuencia completa de responsabilidades del dominio.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DecisionProposal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RiskEvaluationResult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PortfolioTransition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contrato representa una realidad distinta del dominio y constituye la única salida pública autorizada de su Capability propietaria.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