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m84qe9g7yc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IT-033-001 — Portfolio Transition Domain Model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a4fhs9nll3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IT-033-001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Portfolio Transition Domain Model MVP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Draft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Portfolio Transition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ndyr7nwu7ze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Responsabilidad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Materializar el modelo de dominio público, inmutable, trazable y reproducible que representa la transformación autorizada del portafolio determinada por la Capability </w:t>
      </w:r>
      <w:r w:rsidDel="00000000" w:rsidR="00000000" w:rsidRPr="00000000">
        <w:rPr>
          <w:b w:val="1"/>
          <w:bCs w:val="1"/>
          <w:rtl w:val="0"/>
        </w:rPr>
        <w:t xml:space="preserve">Portfolio Transition</w:t>
      </w:r>
      <w:r w:rsidDel="00000000" w:rsidR="00000000" w:rsidRPr="00000000">
        <w:rPr>
          <w:rtl w:val="0"/>
        </w:rPr>
        <w:t xml:space="preserve">, sin implementar todavía los algoritmos responsables de determinar dicha transformación.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bxcu58y1d7g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Propósito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incorpora la primera responsabilidad operacional de la Capability </w:t>
      </w:r>
      <w:r w:rsidDel="00000000" w:rsidR="00000000" w:rsidRPr="00000000">
        <w:rPr>
          <w:b w:val="1"/>
          <w:bCs w:val="1"/>
          <w:rtl w:val="0"/>
        </w:rPr>
        <w:t xml:space="preserve">Portfolio Transition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consiste exclusivamente en materializar el contrato público que representa la transformación autorizada del portafolio entre un estado actual y un estado objetivo.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implementa el primer activo público de la Capability.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incorpora: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algoritmos de comparación entre estados;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de determinación de transiciones;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órdenes;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planificación de ejecución;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operacionales;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ejecución.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dzwna3o2007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Objetivo Arquitectónico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Implementar el contrato público mínimo definido por </w:t>
      </w:r>
      <w:r w:rsidDel="00000000" w:rsidR="00000000" w:rsidRPr="00000000">
        <w:rPr>
          <w:b w:val="1"/>
          <w:bCs w:val="1"/>
          <w:rtl w:val="0"/>
        </w:rPr>
        <w:t xml:space="preserve">DOC-033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contrato permitirá que la Capability </w:t>
      </w:r>
      <w:r w:rsidDel="00000000" w:rsidR="00000000" w:rsidRPr="00000000">
        <w:rPr>
          <w:b w:val="1"/>
          <w:bCs w:val="1"/>
          <w:rtl w:val="0"/>
        </w:rPr>
        <w:t xml:space="preserve">Execution</w:t>
      </w:r>
      <w:r w:rsidDel="00000000" w:rsidR="00000000" w:rsidRPr="00000000">
        <w:rPr>
          <w:rtl w:val="0"/>
        </w:rPr>
        <w:t xml:space="preserve"> determine, utilizando exclusivamente contratos públicos, cómo materializar operacionalmente la transformación previamente determinada.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implementa la determinación de la transformación.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 exclusivamente el activo contractual que representa dicha transformación.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nooer2ta6sb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Alcance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comprende exclusivamente: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materializar el contrato público de salida definido por DOC-033;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identidad semántica propia de la transformación autorizada del portafolio;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naturaleza relacional del activo entre el estado actual y el estado objetivo;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trazabilidad pública hacia los elementos del dominio que participan en la transformación;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establecer las invariantes mínimas del contrato;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establecer las validaciones estructurales mínimas necesarias para garantizar la consistencia del activo.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</w:t>
      </w:r>
      <w:r w:rsidDel="00000000" w:rsidR="00000000" w:rsidRPr="00000000">
        <w:rPr>
          <w:b w:val="1"/>
          <w:bCs w:val="1"/>
          <w:rtl w:val="0"/>
        </w:rPr>
        <w:t xml:space="preserve">no</w:t>
      </w:r>
      <w:r w:rsidDel="00000000" w:rsidR="00000000" w:rsidRPr="00000000">
        <w:rPr>
          <w:rtl w:val="0"/>
        </w:rPr>
        <w:t xml:space="preserve"> comprende:</w:t>
      </w:r>
    </w:p>
    <w:p w:rsidR="00000000" w:rsidDel="00000000" w:rsidP="00000000" w:rsidRDefault="00000000" w:rsidRPr="00000000" w14:paraId="00000028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algoritmos de determinación de transiciones;</w:t>
      </w:r>
    </w:p>
    <w:p w:rsidR="00000000" w:rsidDel="00000000" w:rsidP="00000000" w:rsidRDefault="00000000" w:rsidRPr="00000000" w14:paraId="0000002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entre estados;</w:t>
      </w:r>
    </w:p>
    <w:p w:rsidR="00000000" w:rsidDel="00000000" w:rsidP="00000000" w:rsidRDefault="00000000" w:rsidRPr="00000000" w14:paraId="0000002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2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órdenes;</w:t>
      </w:r>
    </w:p>
    <w:p w:rsidR="00000000" w:rsidDel="00000000" w:rsidP="00000000" w:rsidRDefault="00000000" w:rsidRPr="00000000" w14:paraId="0000002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planificación operacional;</w:t>
      </w:r>
    </w:p>
    <w:p w:rsidR="00000000" w:rsidDel="00000000" w:rsidP="00000000" w:rsidRDefault="00000000" w:rsidRPr="00000000" w14:paraId="0000002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02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brokers;</w:t>
      </w:r>
    </w:p>
    <w:p w:rsidR="00000000" w:rsidDel="00000000" w:rsidP="00000000" w:rsidRDefault="00000000" w:rsidRPr="00000000" w14:paraId="0000002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mercados;</w:t>
      </w:r>
    </w:p>
    <w:p w:rsidR="00000000" w:rsidDel="00000000" w:rsidP="00000000" w:rsidRDefault="00000000" w:rsidRPr="00000000" w14:paraId="0000003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3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32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servicios.</w:t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g4ekt1ex95o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Dependencias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depende exclusivamente de:</w:t>
      </w:r>
    </w:p>
    <w:p w:rsidR="00000000" w:rsidDel="00000000" w:rsidP="00000000" w:rsidRDefault="00000000" w:rsidRPr="00000000" w14:paraId="0000003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DOC-017 — Proceso de Desarrollo Asistido por Inteligencia Artificial.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 — Proceso de Determinación de Responsabilidades Arquitectónicas Emergentes.</w:t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 — Capability Architecture Standard.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DOC-033 — Portfolio Transition Capability.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IT-032-001 — Portfolio State Domain Model MVP.</w:t>
      </w:r>
    </w:p>
    <w:p w:rsidR="00000000" w:rsidDel="00000000" w:rsidP="00000000" w:rsidRDefault="00000000" w:rsidRPr="00000000" w14:paraId="0000003A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IT-REF-001 — Reference Identity Contracts.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introduce dependencias adicionales.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ycylmjl8uf2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Responsabilidad Arquitectónica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este incremento consiste exclusivamente en materializar el contrato público que representa la transformación autorizada del portafolio determinada por la Capability Portfolio Transition.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comienza cuando existen: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contexto de dominio correspondiente al estado actual del portafolio;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arquitectónicamente válido.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finaliza inmediatamente después de producir el contrato público correspondiente.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incremento: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determina el estado objetivo;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determina la transformación entre estados;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compara estados;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optimiza la transición;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genera órdenes;</w:t>
      </w:r>
    </w:p>
    <w:p w:rsidR="00000000" w:rsidDel="00000000" w:rsidP="00000000" w:rsidRDefault="00000000" w:rsidRPr="00000000" w14:paraId="0000004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planifica la ejecución;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ejecuta operaciones;</w:t>
      </w:r>
    </w:p>
    <w:p w:rsidR="00000000" w:rsidDel="00000000" w:rsidP="00000000" w:rsidRDefault="00000000" w:rsidRPr="00000000" w14:paraId="0000004B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 los contratos consumidos.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y96e58tqcqc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Contrato Público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materializa un único contrato público perteneciente a la Capability Portfolio Transition.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representa exclusivamente la transformación autorizada del dominio necesaria para convertir un estado actual válido del portafolio en el estado objetivo previamente determinado.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constituye el único resultado público autorizado de la Capability.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contratos públicos adicionales dentro del presente incremento.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5lju9o3vhyt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Naturaleza del Activo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implementado por este incremento constituye un activo de dominio.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representa una transformación autorizada del portafolio.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representa: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estado del portafolio;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decisión de inversión;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evaluación de riesgo;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orden de mercado;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operación;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plan de ejecución;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algoritmo;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mecanismo de ejecución.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representa exclusivamente la transformación del dominio existente entre un estado actual válido del portafolio y un estado objetivo previamente determinado.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f4wwq630264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Identidad Arquitectónica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implementado por este incremento posee identidad semántica propia.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identidad arquitectónica corresponde a la relación autorizada entre:</w:t>
      </w:r>
    </w:p>
    <w:p w:rsidR="00000000" w:rsidDel="00000000" w:rsidP="00000000" w:rsidRDefault="00000000" w:rsidRPr="00000000" w14:paraId="00000064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estado actual del portafolio;</w:t>
      </w:r>
    </w:p>
    <w:p w:rsidR="00000000" w:rsidDel="00000000" w:rsidP="00000000" w:rsidRDefault="00000000" w:rsidRPr="00000000" w14:paraId="0000006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estado objetivo del portafolio;</w:t>
      </w:r>
    </w:p>
    <w:p w:rsidR="00000000" w:rsidDel="00000000" w:rsidP="00000000" w:rsidRDefault="00000000" w:rsidRPr="00000000" w14:paraId="00000066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transformación pública coherente que vincula ambos estados.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del activo no dependerá de:</w:t>
      </w:r>
    </w:p>
    <w:p w:rsidR="00000000" w:rsidDel="00000000" w:rsidP="00000000" w:rsidRDefault="00000000" w:rsidRPr="00000000" w14:paraId="00000068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implementación utilizada para construir la transición;</w:t>
      </w:r>
    </w:p>
    <w:p w:rsidR="00000000" w:rsidDel="00000000" w:rsidP="00000000" w:rsidRDefault="00000000" w:rsidRPr="00000000" w14:paraId="0000006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infraestructura;</w:t>
      </w:r>
    </w:p>
    <w:p w:rsidR="00000000" w:rsidDel="00000000" w:rsidP="00000000" w:rsidRDefault="00000000" w:rsidRPr="00000000" w14:paraId="0000006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broker;</w:t>
      </w:r>
    </w:p>
    <w:p w:rsidR="00000000" w:rsidDel="00000000" w:rsidP="00000000" w:rsidRDefault="00000000" w:rsidRPr="00000000" w14:paraId="0000006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mecanismo posterior de ejecución;</w:t>
      </w:r>
    </w:p>
    <w:p w:rsidR="00000000" w:rsidDel="00000000" w:rsidP="00000000" w:rsidRDefault="00000000" w:rsidRPr="00000000" w14:paraId="0000006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identidad de instancia;</w:t>
      </w:r>
    </w:p>
    <w:p w:rsidR="00000000" w:rsidDel="00000000" w:rsidP="00000000" w:rsidRDefault="00000000" w:rsidRPr="00000000" w14:paraId="0000006D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de construcción.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preservar esta propiedad arquitectónica.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b72b3sn2rwk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Consumibilidad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implementado por este incremento constituye el único mecanismo autorizado para comunicar la transformación del dominio determinada por Portfolio Transition.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consumirá exclusivamente dicho contrato para iniciar su propia responsabilidad.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Capability posterior dependerá de: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algoritmos internos de Portfolio Transition;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implementaciones particulares;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privados;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reconstrucción de la transformación a partir de los estados consumidos.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interacción arquitectónica deberá realizarse exclusivamente mediante el contrato público implementado por este incremento.</w:t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8vfoph9l6ea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Trazabilidad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preservará referencias públicas hacia los elementos del dominio que participan en la transformación autorizada del portafolio.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trazabilidad constituye una propiedad permanente del contrato.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de trazabilidad deberán permanecer independientes de la implementación utilizada para construir la transición.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trazabilidad permitirá reconstruir la relación arquitectónica entre:</w:t>
      </w:r>
    </w:p>
    <w:p w:rsidR="00000000" w:rsidDel="00000000" w:rsidP="00000000" w:rsidRDefault="00000000" w:rsidRPr="00000000" w14:paraId="0000007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contexto correspondiente al estado actual del portafolio;</w:t>
      </w:r>
    </w:p>
    <w:p w:rsidR="00000000" w:rsidDel="00000000" w:rsidP="00000000" w:rsidRDefault="00000000" w:rsidRPr="00000000" w14:paraId="0000007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consumido;</w:t>
      </w:r>
    </w:p>
    <w:p w:rsidR="00000000" w:rsidDel="00000000" w:rsidP="00000000" w:rsidRDefault="00000000" w:rsidRPr="00000000" w14:paraId="0000008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transformación publicada.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de trazabilidad no autorizan reinterpretar la responsabilidad ejercida por Portfolio Transition.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we2ub7xg0dx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Compatibilidad Arquitectónica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preserva íntegramente las fronteras establecidas por DOC-033.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modifica:</w:t>
      </w:r>
    </w:p>
    <w:p w:rsidR="00000000" w:rsidDel="00000000" w:rsidP="00000000" w:rsidRDefault="00000000" w:rsidRPr="00000000" w14:paraId="00000086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8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08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89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introduce únicamente el contrato público correspondiente a Portfolio Transition.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preservar la compatibilidad arquitectónica con dichos documentos.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rd46zefkscp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Invariantes del Modelo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implementado por este incremento deberá preservar permanentemente las siguientes propiedades.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bm3nyoktptm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IM-001 — Inmutabilidad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autorizada constituye un activo de dominio inmutable.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construido, el contrato no podrá modificarse.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producir un nuevo contrato.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4ikh01tpmb1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IM-002 — Identidad Semántica Relacional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semántica del activo dependerá exclusivamente de:</w:t>
      </w:r>
    </w:p>
    <w:p w:rsidR="00000000" w:rsidDel="00000000" w:rsidP="00000000" w:rsidRDefault="00000000" w:rsidRPr="00000000" w14:paraId="00000097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identidad semántica del estado actual representado;</w:t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identidad semántica del estado objetivo representado;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transformación pública coherente que relaciona ambos estados.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no dependerá de:</w:t>
      </w:r>
    </w:p>
    <w:p w:rsidR="00000000" w:rsidDel="00000000" w:rsidP="00000000" w:rsidRDefault="00000000" w:rsidRPr="00000000" w14:paraId="0000009B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9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9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de construcción;</w:t>
      </w:r>
    </w:p>
    <w:p w:rsidR="00000000" w:rsidDel="00000000" w:rsidP="00000000" w:rsidRDefault="00000000" w:rsidRPr="00000000" w14:paraId="000000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de instancia;</w:t>
      </w:r>
    </w:p>
    <w:p w:rsidR="00000000" w:rsidDel="00000000" w:rsidP="00000000" w:rsidRDefault="00000000" w:rsidRPr="00000000" w14:paraId="0000009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posterior.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sid3haid73r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IM-003 — Igualdad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contratos serán arquitectónicamente equivalentes cuando representen exactamente la misma transformación autorizada entre el mismo estado actual y el mismo estado objetivo.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igualdad no dependerá de:</w:t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de instancia;</w:t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implementación;</w:t>
      </w:r>
    </w:p>
    <w:p w:rsidR="00000000" w:rsidDel="00000000" w:rsidP="00000000" w:rsidRDefault="00000000" w:rsidRPr="00000000" w14:paraId="000000A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de construcción;</w:t>
      </w:r>
    </w:p>
    <w:p w:rsidR="00000000" w:rsidDel="00000000" w:rsidP="00000000" w:rsidRDefault="00000000" w:rsidRPr="00000000" w14:paraId="000000A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c37vps3ylsa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IM-004 — Hash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valor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</w:t>
      </w:r>
      <w:r w:rsidDel="00000000" w:rsidR="00000000" w:rsidRPr="00000000">
        <w:rPr>
          <w:rtl w:val="0"/>
        </w:rPr>
        <w:t xml:space="preserve"> deberá derivarse exclusivamente de los mismos componentes semánticos utilizados para determinar la igualdad.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deberá garantizar la consistencia entre:</w:t>
      </w:r>
    </w:p>
    <w:p w:rsidR="00000000" w:rsidDel="00000000" w:rsidP="00000000" w:rsidRDefault="00000000" w:rsidRPr="00000000" w14:paraId="000000A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identidad;</w:t>
      </w:r>
    </w:p>
    <w:p w:rsidR="00000000" w:rsidDel="00000000" w:rsidP="00000000" w:rsidRDefault="00000000" w:rsidRPr="00000000" w14:paraId="000000A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igualdad;</w:t>
      </w:r>
    </w:p>
    <w:p w:rsidR="00000000" w:rsidDel="00000000" w:rsidP="00000000" w:rsidRDefault="00000000" w:rsidRPr="00000000" w14:paraId="000000A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ljd2uuchkc9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IM-005 — Coherencia Relacional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publicada deberá ser coherente con el estado actual y el estado objetivo que relaciona.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contratos que representen transformaciones incompatibles con dichos estados.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tknvlnbo4pj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IM-006 — Reproducibilidad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realidad del dominio deberá producir siempre el mismo contrato semántico.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reproducible no dependerá del mecanismo utilizado para construir la transición.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wccafh80ixa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Validaciones Estructurales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deberá garantizar como mínimo las siguientes validaciones.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czp3os3ajy2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VE-001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autorizada deberá existir.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contratos incompletos.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ritj92eh85t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VE-002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públicas correspondientes al estado actual y al estado objetivo deberán ser arquitectónicamente válidas.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hk7y4qtf5z2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VE-003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deberá ser coherente con los estados que relaciona.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relaciones arquitectónicamente imposibles.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0xs25u16wem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VE-004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deberá representar exactamente una única transformación autorizada.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transformaciones contradictorias dentro del mismo activo.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3kpfda179y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VE-005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representación de la transformación deberá cumplir las invariantes definidas por DOC-033.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y15a9ofxqi0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Compatibilidad del Modelo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preservar completamente la compatibilidad arquitectónica con:</w:t>
      </w:r>
    </w:p>
    <w:p w:rsidR="00000000" w:rsidDel="00000000" w:rsidP="00000000" w:rsidRDefault="00000000" w:rsidRPr="00000000" w14:paraId="000000C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DOC-033;</w:t>
      </w:r>
    </w:p>
    <w:p w:rsidR="00000000" w:rsidDel="00000000" w:rsidP="00000000" w:rsidRDefault="00000000" w:rsidRPr="00000000" w14:paraId="000000D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PortfolioState;</w:t>
      </w:r>
    </w:p>
    <w:p w:rsidR="00000000" w:rsidDel="00000000" w:rsidP="00000000" w:rsidRDefault="00000000" w:rsidRPr="00000000" w14:paraId="000000D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InstrumentReference;</w:t>
      </w:r>
    </w:p>
    <w:p w:rsidR="00000000" w:rsidDel="00000000" w:rsidP="00000000" w:rsidRDefault="00000000" w:rsidRPr="00000000" w14:paraId="000000D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CurrencyReference.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introducir dependencias adicionales.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modificar contratos públicos existentes.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esw071v0s7b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Estrategia de Pruebas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aceptación del presente incremento requerirá evidencia objetiva de las siguientes propiedades.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f02mxjryijx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EP-001 — Construcción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contrato público puede construirse correctamente cuando se satisfacen todas las precondiciones arquitectónicas.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otc5cngvq9w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EP-002 — Inmutabilidad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contrato no admite modificaciones posteriores a su construcción.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tnhfyimtunl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EP-003 — Igualdad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dos contratos arquitectónicamente equivalentes producen igualdad semántica.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8hnp5jajjj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EP-004 — Hash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la consistencia entre identidad, igualdad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rmek3jgucz8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EP-005 — Trazabilidad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la preservación íntegra de las referencias arquitectónicas consumidas.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0cjkn1hj2po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EP-006 — Coherencia Relacional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la transformación publicada permanece coherente con el estado actual y el estado objetivo representados.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ker3lzf3wc8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EP-007 — Reproducibilidad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la misma realidad del dominio produce exactamente el mismo contrato.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0jvmsuk4kim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EP-008 — Fronteras Arquitectónicas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incremento mantiene la separación arquitectónica respecto de:</w:t>
      </w:r>
    </w:p>
    <w:p w:rsidR="00000000" w:rsidDel="00000000" w:rsidP="00000000" w:rsidRDefault="00000000" w:rsidRPr="00000000" w14:paraId="000000F0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F1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qb7sj4cc647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EP-009 — Compatibilidad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incremento:</w:t>
      </w:r>
    </w:p>
    <w:p w:rsidR="00000000" w:rsidDel="00000000" w:rsidP="00000000" w:rsidRDefault="00000000" w:rsidRPr="00000000" w14:paraId="000000F5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modifica contratos públicos existentes;</w:t>
      </w:r>
    </w:p>
    <w:p w:rsidR="00000000" w:rsidDel="00000000" w:rsidP="00000000" w:rsidRDefault="00000000" w:rsidRPr="00000000" w14:paraId="000000F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 íntegramente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F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 íntegramente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F8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introduce dependencias arquitectónicas adicionales.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