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y6nzs5m5zik" w:id="0"/>
      <w:bookmarkEnd w:id="0"/>
      <w:r w:rsidDel="00000000" w:rsidR="00000000" w:rsidRPr="00000000">
        <w:rPr>
          <w:b w:val="1"/>
          <w:bCs w:val="1"/>
          <w:sz w:val="46"/>
          <w:szCs w:val="46"/>
          <w:rtl w:val="0"/>
        </w:rPr>
        <w:t xml:space="preserve">DOC-022 — Data Lifecycle Management Foundation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6zzf1r8q7j2" w:id="1"/>
      <w:bookmarkEnd w:id="1"/>
      <w:r w:rsidDel="00000000" w:rsidR="00000000" w:rsidRPr="00000000">
        <w:rPr>
          <w:b w:val="1"/>
          <w:bCs w:val="1"/>
          <w:sz w:val="34"/>
          <w:szCs w:val="34"/>
          <w:rtl w:val="0"/>
        </w:rPr>
        <w:t xml:space="preserve">TramitaGO Quant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u8db5kl6dwwp" w:id="2"/>
      <w:bookmarkEnd w:id="2"/>
      <w:r w:rsidDel="00000000" w:rsidR="00000000" w:rsidRPr="00000000">
        <w:rPr>
          <w:b w:val="1"/>
          <w:bCs w:val="1"/>
          <w:sz w:val="46"/>
          <w:szCs w:val="46"/>
          <w:rtl w:val="0"/>
        </w:rPr>
        <w:t xml:space="preserve">1. Identificación</w:t>
      </w:r>
    </w:p>
    <w:tbl>
      <w:tblPr>
        <w:tblStyle w:val="Table1"/>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370"/>
        <w:tblGridChange w:id="0">
          <w:tblGrid>
            <w:gridCol w:w="1835"/>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DOC-022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Data Lifecycle Management Foundation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Versión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Documento de arquitectura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Relacionado 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DOC-018, DOC-019, DOC-020, DOC-021</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7diu4xh94i2l" w:id="3"/>
      <w:bookmarkEnd w:id="3"/>
      <w:r w:rsidDel="00000000" w:rsidR="00000000" w:rsidRPr="00000000">
        <w:rPr>
          <w:b w:val="1"/>
          <w:bCs w:val="1"/>
          <w:sz w:val="46"/>
          <w:szCs w:val="46"/>
          <w:rtl w:val="0"/>
        </w:rPr>
        <w:t xml:space="preserve">2. Objetivo</w:t>
      </w:r>
    </w:p>
    <w:p w:rsidR="00000000" w:rsidDel="00000000" w:rsidP="00000000" w:rsidRDefault="00000000" w:rsidRPr="00000000" w14:paraId="00000015">
      <w:pPr>
        <w:spacing w:after="240" w:before="240" w:lineRule="auto"/>
        <w:rPr/>
      </w:pPr>
      <w:r w:rsidDel="00000000" w:rsidR="00000000" w:rsidRPr="00000000">
        <w:rPr>
          <w:rtl w:val="0"/>
        </w:rPr>
        <w:t xml:space="preserve">Definir el ciclo de vida arquitectónico de los datasets dentro de TramitaGO Quant Platform, estableciendo cómo un conjunto de datos evoluciona desde su adquisición hasta convertirse en un dataset administrado, trazable y disponible para los procesos internos de investigación cuantitativa, preservando íntegramente la información proveniente de la fuente y sin realizar modificaciones sobre su contenido.</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uheeki182drr" w:id="4"/>
      <w:bookmarkEnd w:id="4"/>
      <w:r w:rsidDel="00000000" w:rsidR="00000000" w:rsidRPr="00000000">
        <w:rPr>
          <w:b w:val="1"/>
          <w:bCs w:val="1"/>
          <w:sz w:val="46"/>
          <w:szCs w:val="46"/>
          <w:rtl w:val="0"/>
        </w:rPr>
        <w:t xml:space="preserve">3. Alcance</w:t>
      </w:r>
    </w:p>
    <w:p w:rsidR="00000000" w:rsidDel="00000000" w:rsidP="00000000" w:rsidRDefault="00000000" w:rsidRPr="00000000" w14:paraId="00000018">
      <w:pPr>
        <w:spacing w:after="240" w:before="240" w:lineRule="auto"/>
        <w:rPr/>
      </w:pPr>
      <w:r w:rsidDel="00000000" w:rsidR="00000000" w:rsidRPr="00000000">
        <w:rPr>
          <w:rtl w:val="0"/>
        </w:rPr>
        <w:t xml:space="preserve">Este documento define la arquitectura del ciclo de vida de los datasets administrados por la plataforma.</w:t>
      </w:r>
    </w:p>
    <w:p w:rsidR="00000000" w:rsidDel="00000000" w:rsidP="00000000" w:rsidRDefault="00000000" w:rsidRPr="00000000" w14:paraId="00000019">
      <w:pPr>
        <w:spacing w:after="240" w:before="240" w:lineRule="auto"/>
        <w:rPr/>
      </w:pPr>
      <w:r w:rsidDel="00000000" w:rsidR="00000000" w:rsidRPr="00000000">
        <w:rPr>
          <w:rtl w:val="0"/>
        </w:rPr>
        <w:t xml:space="preserve">Establece:</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las etapas del ciclo de vida;</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los estados permitidos;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la trazabilidad mínima requerida;</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las responsabilidades de cada etapa;</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las condiciones para que un dataset pueda ser consumido por otros componentes internos.</w:t>
      </w:r>
    </w:p>
    <w:p w:rsidR="00000000" w:rsidDel="00000000" w:rsidP="00000000" w:rsidRDefault="00000000" w:rsidRPr="00000000" w14:paraId="0000001F">
      <w:pPr>
        <w:spacing w:after="240" w:before="240" w:lineRule="auto"/>
        <w:rPr/>
      </w:pPr>
      <w:r w:rsidDel="00000000" w:rsidR="00000000" w:rsidRPr="00000000">
        <w:rPr>
          <w:rtl w:val="0"/>
        </w:rPr>
        <w:t xml:space="preserve">No define la implementación técnica de estas capacidades.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mqeiqt8cco29" w:id="5"/>
      <w:bookmarkEnd w:id="5"/>
      <w:r w:rsidDel="00000000" w:rsidR="00000000" w:rsidRPr="00000000">
        <w:rPr>
          <w:b w:val="1"/>
          <w:bCs w:val="1"/>
          <w:sz w:val="46"/>
          <w:szCs w:val="46"/>
          <w:rtl w:val="0"/>
        </w:rPr>
        <w:t xml:space="preserve">4. Principio fundamental</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cmazfmy04j6" w:id="6"/>
      <w:bookmarkEnd w:id="6"/>
      <w:r w:rsidDel="00000000" w:rsidR="00000000" w:rsidRPr="00000000">
        <w:rPr>
          <w:b w:val="1"/>
          <w:bCs w:val="1"/>
          <w:sz w:val="34"/>
          <w:szCs w:val="34"/>
          <w:rtl w:val="0"/>
        </w:rPr>
        <w:t xml:space="preserve">Un dataset administrado debe ser completamente trazable desde su origen hasta su utilización.</w:t>
      </w:r>
    </w:p>
    <w:p w:rsidR="00000000" w:rsidDel="00000000" w:rsidP="00000000" w:rsidRDefault="00000000" w:rsidRPr="00000000" w14:paraId="00000023">
      <w:pPr>
        <w:spacing w:after="240" w:before="240" w:lineRule="auto"/>
        <w:rPr/>
      </w:pPr>
      <w:r w:rsidDel="00000000" w:rsidR="00000000" w:rsidRPr="00000000">
        <w:rPr>
          <w:rtl w:val="0"/>
        </w:rPr>
        <w:t xml:space="preserve">Todo dataset utilizado por la plataforma deberá permitir identificar:</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origen;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proceso aplicado;</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versión;</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2A">
      <w:pPr>
        <w:spacing w:after="240" w:before="240" w:lineRule="auto"/>
        <w:rPr/>
      </w:pPr>
      <w:r w:rsidDel="00000000" w:rsidR="00000000" w:rsidRPr="00000000">
        <w:rPr>
          <w:rtl w:val="0"/>
        </w:rPr>
        <w:t xml:space="preserve">La plataforma no modificará la información obtenida desde la fuente.</w:t>
      </w:r>
    </w:p>
    <w:p w:rsidR="00000000" w:rsidDel="00000000" w:rsidP="00000000" w:rsidRDefault="00000000" w:rsidRPr="00000000" w14:paraId="0000002B">
      <w:pPr>
        <w:spacing w:after="240" w:before="240" w:lineRule="auto"/>
        <w:rPr/>
      </w:pPr>
      <w:r w:rsidDel="00000000" w:rsidR="00000000" w:rsidRPr="00000000">
        <w:rPr>
          <w:rtl w:val="0"/>
        </w:rPr>
        <w:t xml:space="preserve">Los procesos internos únicamente podrán:</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validar;</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clasificar;</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identificar;</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administrar.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fgf9ykzahitn" w:id="7"/>
      <w:bookmarkEnd w:id="7"/>
      <w:r w:rsidDel="00000000" w:rsidR="00000000" w:rsidRPr="00000000">
        <w:rPr>
          <w:b w:val="1"/>
          <w:bCs w:val="1"/>
          <w:sz w:val="46"/>
          <w:szCs w:val="46"/>
          <w:rtl w:val="0"/>
        </w:rPr>
        <w:t xml:space="preserve">5. Ciclo de vida del dataset</w:t>
      </w:r>
    </w:p>
    <w:p w:rsidR="00000000" w:rsidDel="00000000" w:rsidP="00000000" w:rsidRDefault="00000000" w:rsidRPr="00000000" w14:paraId="00000032">
      <w:pPr>
        <w:spacing w:after="240" w:before="240" w:lineRule="auto"/>
        <w:rPr/>
      </w:pPr>
      <w:r w:rsidDel="00000000" w:rsidR="00000000" w:rsidRPr="00000000">
        <w:rPr>
          <w:rtl w:val="0"/>
        </w:rPr>
        <w:t xml:space="preserve">Todo dataset administrado evolucionará siguiendo el siguiente ciclo:</w:t>
      </w:r>
    </w:p>
    <w:p w:rsidR="00000000" w:rsidDel="00000000" w:rsidP="00000000" w:rsidRDefault="00000000" w:rsidRPr="00000000" w14:paraId="00000033">
      <w:pPr>
        <w:rPr/>
      </w:pPr>
      <w:r w:rsidDel="00000000" w:rsidR="00000000" w:rsidRPr="00000000">
        <w:rPr>
          <w:rtl w:val="0"/>
        </w:rPr>
        <w:t xml:space="preserve">Adquisición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Normalización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Validación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Registro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Disponibilidad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Consumo interno</w:t>
      </w:r>
    </w:p>
    <w:p w:rsidR="00000000" w:rsidDel="00000000" w:rsidP="00000000" w:rsidRDefault="00000000" w:rsidRPr="00000000" w14:paraId="00000048">
      <w:pPr>
        <w:spacing w:after="240" w:before="240" w:lineRule="auto"/>
        <w:rPr/>
      </w:pPr>
      <w:r w:rsidDel="00000000" w:rsidR="00000000" w:rsidRPr="00000000">
        <w:rPr>
          <w:rtl w:val="0"/>
        </w:rPr>
        <w:t xml:space="preserve">Cada etapa representa un cambio de estado dentro de la plataforma.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4cm6v6cbfk97" w:id="8"/>
      <w:bookmarkEnd w:id="8"/>
      <w:r w:rsidDel="00000000" w:rsidR="00000000" w:rsidRPr="00000000">
        <w:rPr>
          <w:b w:val="1"/>
          <w:bCs w:val="1"/>
          <w:sz w:val="46"/>
          <w:szCs w:val="46"/>
          <w:rtl w:val="0"/>
        </w:rPr>
        <w:t xml:space="preserve">6. Etapas del ciclo de vida</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zcpxieqzw30l" w:id="9"/>
      <w:bookmarkEnd w:id="9"/>
      <w:r w:rsidDel="00000000" w:rsidR="00000000" w:rsidRPr="00000000">
        <w:rPr>
          <w:b w:val="1"/>
          <w:bCs w:val="1"/>
          <w:sz w:val="34"/>
          <w:szCs w:val="34"/>
          <w:rtl w:val="0"/>
        </w:rPr>
        <w:t xml:space="preserve">6.1 Adquisición</w:t>
      </w:r>
    </w:p>
    <w:p w:rsidR="00000000" w:rsidDel="00000000" w:rsidP="00000000" w:rsidRDefault="00000000" w:rsidRPr="00000000" w14:paraId="0000004C">
      <w:pPr>
        <w:spacing w:after="240" w:before="240" w:lineRule="auto"/>
        <w:rPr/>
      </w:pPr>
      <w:r w:rsidDel="00000000" w:rsidR="00000000" w:rsidRPr="00000000">
        <w:rPr>
          <w:rtl w:val="0"/>
        </w:rPr>
        <w:t xml:space="preserve">Corresponde al momento en que los datos son obtenidos desde una fuente externa.</w:t>
      </w:r>
    </w:p>
    <w:p w:rsidR="00000000" w:rsidDel="00000000" w:rsidP="00000000" w:rsidRDefault="00000000" w:rsidRPr="00000000" w14:paraId="0000004D">
      <w:pPr>
        <w:spacing w:after="240" w:before="240" w:lineRule="auto"/>
        <w:rPr/>
      </w:pPr>
      <w:r w:rsidDel="00000000" w:rsidR="00000000" w:rsidRPr="00000000">
        <w:rPr>
          <w:rtl w:val="0"/>
        </w:rPr>
        <w:t xml:space="preserve">La adquisición deberá permitir identificar como mínimo:</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origen;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instrumento;</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período cubierto;</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fecha de obtención.</w:t>
      </w:r>
    </w:p>
    <w:p w:rsidR="00000000" w:rsidDel="00000000" w:rsidP="00000000" w:rsidRDefault="00000000" w:rsidRPr="00000000" w14:paraId="00000052">
      <w:pPr>
        <w:spacing w:after="240" w:before="240" w:lineRule="auto"/>
        <w:rPr/>
      </w:pPr>
      <w:r w:rsidDel="00000000" w:rsidR="00000000" w:rsidRPr="00000000">
        <w:rPr>
          <w:rtl w:val="0"/>
        </w:rPr>
        <w:t xml:space="preserve">La adquisición no implica aprobación para investigación.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3v7r3mbknuqe" w:id="10"/>
      <w:bookmarkEnd w:id="10"/>
      <w:r w:rsidDel="00000000" w:rsidR="00000000" w:rsidRPr="00000000">
        <w:rPr>
          <w:b w:val="1"/>
          <w:bCs w:val="1"/>
          <w:sz w:val="34"/>
          <w:szCs w:val="34"/>
          <w:rtl w:val="0"/>
        </w:rPr>
        <w:t xml:space="preserve">6.2 Normalización</w:t>
      </w:r>
    </w:p>
    <w:p w:rsidR="00000000" w:rsidDel="00000000" w:rsidP="00000000" w:rsidRDefault="00000000" w:rsidRPr="00000000" w14:paraId="00000055">
      <w:pPr>
        <w:spacing w:after="240" w:before="240" w:lineRule="auto"/>
        <w:rPr/>
      </w:pPr>
      <w:r w:rsidDel="00000000" w:rsidR="00000000" w:rsidRPr="00000000">
        <w:rPr>
          <w:rtl w:val="0"/>
        </w:rPr>
        <w:t xml:space="preserve">Tiene como objetivo convertir los datos recibidos a los contratos internos definidos por la plataforma.</w:t>
      </w:r>
    </w:p>
    <w:p w:rsidR="00000000" w:rsidDel="00000000" w:rsidP="00000000" w:rsidRDefault="00000000" w:rsidRPr="00000000" w14:paraId="00000056">
      <w:pPr>
        <w:spacing w:after="240" w:before="240" w:lineRule="auto"/>
        <w:rPr/>
      </w:pPr>
      <w:r w:rsidDel="00000000" w:rsidR="00000000" w:rsidRPr="00000000">
        <w:rPr>
          <w:rtl w:val="0"/>
        </w:rPr>
        <w:t xml:space="preserve">La normalización no modifica el contenido económico de los datos.</w:t>
      </w:r>
    </w:p>
    <w:p w:rsidR="00000000" w:rsidDel="00000000" w:rsidP="00000000" w:rsidRDefault="00000000" w:rsidRPr="00000000" w14:paraId="00000057">
      <w:pPr>
        <w:spacing w:after="240" w:before="240" w:lineRule="auto"/>
        <w:rPr/>
      </w:pPr>
      <w:r w:rsidDel="00000000" w:rsidR="00000000" w:rsidRPr="00000000">
        <w:rPr>
          <w:rtl w:val="0"/>
        </w:rPr>
        <w:t xml:space="preserve">Únicamente adapta su representación para permitir un procesamiento uniforme.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vcvr1h7jf0u" w:id="11"/>
      <w:bookmarkEnd w:id="11"/>
      <w:r w:rsidDel="00000000" w:rsidR="00000000" w:rsidRPr="00000000">
        <w:rPr>
          <w:b w:val="1"/>
          <w:bCs w:val="1"/>
          <w:sz w:val="34"/>
          <w:szCs w:val="34"/>
          <w:rtl w:val="0"/>
        </w:rPr>
        <w:t xml:space="preserve">6.3 Validación</w:t>
      </w:r>
    </w:p>
    <w:p w:rsidR="00000000" w:rsidDel="00000000" w:rsidP="00000000" w:rsidRDefault="00000000" w:rsidRPr="00000000" w14:paraId="0000005A">
      <w:pPr>
        <w:spacing w:after="240" w:before="240" w:lineRule="auto"/>
        <w:rPr/>
      </w:pPr>
      <w:r w:rsidDel="00000000" w:rsidR="00000000" w:rsidRPr="00000000">
        <w:rPr>
          <w:rtl w:val="0"/>
        </w:rPr>
        <w:t xml:space="preserve">La validación determina si un dataset cumple las condiciones mínimas necesarias para ser utilizado por los procesos internos.</w:t>
      </w:r>
    </w:p>
    <w:p w:rsidR="00000000" w:rsidDel="00000000" w:rsidP="00000000" w:rsidRDefault="00000000" w:rsidRPr="00000000" w14:paraId="0000005B">
      <w:pPr>
        <w:spacing w:after="240" w:before="240" w:lineRule="auto"/>
        <w:rPr/>
      </w:pPr>
      <w:r w:rsidDel="00000000" w:rsidR="00000000" w:rsidRPr="00000000">
        <w:rPr>
          <w:rtl w:val="0"/>
        </w:rPr>
        <w:t xml:space="preserve">Las reglas de validación serán definidas por la Data Quality Layer.</w:t>
      </w:r>
    </w:p>
    <w:p w:rsidR="00000000" w:rsidDel="00000000" w:rsidP="00000000" w:rsidRDefault="00000000" w:rsidRPr="00000000" w14:paraId="0000005C">
      <w:pPr>
        <w:spacing w:after="240" w:before="240" w:lineRule="auto"/>
        <w:rPr/>
      </w:pPr>
      <w:r w:rsidDel="00000000" w:rsidR="00000000" w:rsidRPr="00000000">
        <w:rPr>
          <w:rtl w:val="0"/>
        </w:rPr>
        <w:t xml:space="preserve">La validación no corrige datos.</w:t>
      </w:r>
    </w:p>
    <w:p w:rsidR="00000000" w:rsidDel="00000000" w:rsidP="00000000" w:rsidRDefault="00000000" w:rsidRPr="00000000" w14:paraId="0000005D">
      <w:pPr>
        <w:spacing w:after="240" w:before="240" w:lineRule="auto"/>
        <w:rPr/>
      </w:pPr>
      <w:r w:rsidDel="00000000" w:rsidR="00000000" w:rsidRPr="00000000">
        <w:rPr>
          <w:rtl w:val="0"/>
        </w:rPr>
        <w:t xml:space="preserve">El resultado únicamente determina si el dataset puede continuar dentro del ciclo de vida.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xhlb9doajxdr" w:id="12"/>
      <w:bookmarkEnd w:id="12"/>
      <w:r w:rsidDel="00000000" w:rsidR="00000000" w:rsidRPr="00000000">
        <w:rPr>
          <w:b w:val="1"/>
          <w:bCs w:val="1"/>
          <w:sz w:val="34"/>
          <w:szCs w:val="34"/>
          <w:rtl w:val="0"/>
        </w:rPr>
        <w:t xml:space="preserve">6.4 Registro</w:t>
      </w:r>
    </w:p>
    <w:p w:rsidR="00000000" w:rsidDel="00000000" w:rsidP="00000000" w:rsidRDefault="00000000" w:rsidRPr="00000000" w14:paraId="00000060">
      <w:pPr>
        <w:spacing w:after="240" w:before="240" w:lineRule="auto"/>
        <w:rPr/>
      </w:pPr>
      <w:r w:rsidDel="00000000" w:rsidR="00000000" w:rsidRPr="00000000">
        <w:rPr>
          <w:rtl w:val="0"/>
        </w:rPr>
        <w:t xml:space="preserve">Una vez validado, el dataset deberá quedar identificado mediante información suficiente para garantizar su trazabilidad.</w:t>
      </w:r>
    </w:p>
    <w:p w:rsidR="00000000" w:rsidDel="00000000" w:rsidP="00000000" w:rsidRDefault="00000000" w:rsidRPr="00000000" w14:paraId="00000061">
      <w:pPr>
        <w:spacing w:after="240" w:before="240" w:lineRule="auto"/>
        <w:rPr/>
      </w:pPr>
      <w:r w:rsidDel="00000000" w:rsidR="00000000" w:rsidRPr="00000000">
        <w:rPr>
          <w:rtl w:val="0"/>
        </w:rPr>
        <w:t xml:space="preserve">Como mínimo deberá poder asociarse a:</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identificador del dataset;</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versión;</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fecha de creación;</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resultado de validación.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2qnoy59qii" w:id="13"/>
      <w:bookmarkEnd w:id="13"/>
      <w:r w:rsidDel="00000000" w:rsidR="00000000" w:rsidRPr="00000000">
        <w:rPr>
          <w:b w:val="1"/>
          <w:bCs w:val="1"/>
          <w:sz w:val="34"/>
          <w:szCs w:val="34"/>
          <w:rtl w:val="0"/>
        </w:rPr>
        <w:t xml:space="preserve">6.5 Disponibilidad</w:t>
      </w:r>
    </w:p>
    <w:p w:rsidR="00000000" w:rsidDel="00000000" w:rsidP="00000000" w:rsidRDefault="00000000" w:rsidRPr="00000000" w14:paraId="00000069">
      <w:pPr>
        <w:spacing w:after="240" w:before="240" w:lineRule="auto"/>
        <w:rPr/>
      </w:pPr>
      <w:r w:rsidDel="00000000" w:rsidR="00000000" w:rsidRPr="00000000">
        <w:rPr>
          <w:rtl w:val="0"/>
        </w:rPr>
        <w:t xml:space="preserve">Un dataset registrado podrá declararse disponible para consumo interno.</w:t>
      </w:r>
    </w:p>
    <w:p w:rsidR="00000000" w:rsidDel="00000000" w:rsidP="00000000" w:rsidRDefault="00000000" w:rsidRPr="00000000" w14:paraId="0000006A">
      <w:pPr>
        <w:spacing w:after="240" w:before="240" w:lineRule="auto"/>
        <w:rPr/>
      </w:pPr>
      <w:r w:rsidDel="00000000" w:rsidR="00000000" w:rsidRPr="00000000">
        <w:rPr>
          <w:rtl w:val="0"/>
        </w:rPr>
        <w:t xml:space="preserve">La disponibilidad indica únicamente que el dataset puede ser utilizado por otros componentes de la plataforma.</w:t>
      </w:r>
    </w:p>
    <w:p w:rsidR="00000000" w:rsidDel="00000000" w:rsidP="00000000" w:rsidRDefault="00000000" w:rsidRPr="00000000" w14:paraId="0000006B">
      <w:pPr>
        <w:spacing w:after="240" w:before="240" w:lineRule="auto"/>
        <w:rPr/>
      </w:pPr>
      <w:r w:rsidDel="00000000" w:rsidR="00000000" w:rsidRPr="00000000">
        <w:rPr>
          <w:rtl w:val="0"/>
        </w:rPr>
        <w:t xml:space="preserve">No implica que sea adecuado para todos los experimentos.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zxunz4hntgj" w:id="14"/>
      <w:bookmarkEnd w:id="14"/>
      <w:r w:rsidDel="00000000" w:rsidR="00000000" w:rsidRPr="00000000">
        <w:rPr>
          <w:b w:val="1"/>
          <w:bCs w:val="1"/>
          <w:sz w:val="34"/>
          <w:szCs w:val="34"/>
          <w:rtl w:val="0"/>
        </w:rPr>
        <w:t xml:space="preserve">6.6 Consumo interno</w:t>
      </w:r>
    </w:p>
    <w:p w:rsidR="00000000" w:rsidDel="00000000" w:rsidP="00000000" w:rsidRDefault="00000000" w:rsidRPr="00000000" w14:paraId="0000006E">
      <w:pPr>
        <w:spacing w:after="240" w:before="240" w:lineRule="auto"/>
        <w:rPr/>
      </w:pPr>
      <w:r w:rsidDel="00000000" w:rsidR="00000000" w:rsidRPr="00000000">
        <w:rPr>
          <w:rtl w:val="0"/>
        </w:rPr>
        <w:t xml:space="preserve">Los componentes consumidores deberán acceder exclusivamente a datasets administrados por la plataforma.</w:t>
      </w:r>
    </w:p>
    <w:p w:rsidR="00000000" w:rsidDel="00000000" w:rsidP="00000000" w:rsidRDefault="00000000" w:rsidRPr="00000000" w14:paraId="0000006F">
      <w:pPr>
        <w:spacing w:after="240" w:before="240" w:lineRule="auto"/>
        <w:rPr/>
      </w:pPr>
      <w:r w:rsidDel="00000000" w:rsidR="00000000" w:rsidRPr="00000000">
        <w:rPr>
          <w:rtl w:val="0"/>
        </w:rPr>
        <w:t xml:space="preserve">No deberán depender directamente de proveedores externos ni de mecanismos particulares de adquisición.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n1oxnlafu4a5" w:id="15"/>
      <w:bookmarkEnd w:id="15"/>
      <w:r w:rsidDel="00000000" w:rsidR="00000000" w:rsidRPr="00000000">
        <w:rPr>
          <w:b w:val="1"/>
          <w:bCs w:val="1"/>
          <w:sz w:val="46"/>
          <w:szCs w:val="46"/>
          <w:rtl w:val="0"/>
        </w:rPr>
        <w:t xml:space="preserve">7. Estados del dataset</w:t>
      </w:r>
    </w:p>
    <w:p w:rsidR="00000000" w:rsidDel="00000000" w:rsidP="00000000" w:rsidRDefault="00000000" w:rsidRPr="00000000" w14:paraId="00000072">
      <w:pPr>
        <w:spacing w:after="240" w:before="240" w:lineRule="auto"/>
        <w:rPr/>
      </w:pPr>
      <w:r w:rsidDel="00000000" w:rsidR="00000000" w:rsidRPr="00000000">
        <w:rPr>
          <w:rtl w:val="0"/>
        </w:rPr>
        <w:t xml:space="preserve">Todo dataset administrado deberá encontrarse en uno de los siguientes estados:</w:t>
      </w:r>
    </w:p>
    <w:p w:rsidR="00000000" w:rsidDel="00000000" w:rsidP="00000000" w:rsidRDefault="00000000" w:rsidRPr="00000000" w14:paraId="00000073">
      <w:pPr>
        <w:numPr>
          <w:ilvl w:val="0"/>
          <w:numId w:val="14"/>
        </w:numPr>
        <w:spacing w:after="0" w:afterAutospacing="0" w:before="240" w:lineRule="auto"/>
        <w:ind w:left="720" w:hanging="360"/>
      </w:pPr>
      <w:r w:rsidDel="00000000" w:rsidR="00000000" w:rsidRPr="00000000">
        <w:rPr>
          <w:rtl w:val="0"/>
        </w:rPr>
        <w:t xml:space="preserve">Adquirido</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rtl w:val="0"/>
        </w:rPr>
        <w:t xml:space="preserve">Normalizado</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Validado</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Registrado</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Disponible</w:t>
      </w:r>
    </w:p>
    <w:p w:rsidR="00000000" w:rsidDel="00000000" w:rsidP="00000000" w:rsidRDefault="00000000" w:rsidRPr="00000000" w14:paraId="00000078">
      <w:pPr>
        <w:numPr>
          <w:ilvl w:val="0"/>
          <w:numId w:val="14"/>
        </w:numPr>
        <w:spacing w:after="240" w:before="0" w:beforeAutospacing="0" w:lineRule="auto"/>
        <w:ind w:left="720" w:hanging="360"/>
      </w:pPr>
      <w:r w:rsidDel="00000000" w:rsidR="00000000" w:rsidRPr="00000000">
        <w:rPr>
          <w:rtl w:val="0"/>
        </w:rPr>
        <w:t xml:space="preserve">Retirado</w:t>
      </w:r>
    </w:p>
    <w:p w:rsidR="00000000" w:rsidDel="00000000" w:rsidP="00000000" w:rsidRDefault="00000000" w:rsidRPr="00000000" w14:paraId="00000079">
      <w:pPr>
        <w:spacing w:after="240" w:before="240" w:lineRule="auto"/>
        <w:rPr/>
      </w:pPr>
      <w:r w:rsidDel="00000000" w:rsidR="00000000" w:rsidRPr="00000000">
        <w:rPr>
          <w:rtl w:val="0"/>
        </w:rPr>
        <w:t xml:space="preserve">No podrán omitirse estados intermedios.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ajaar5kmpkpy" w:id="16"/>
      <w:bookmarkEnd w:id="16"/>
      <w:r w:rsidDel="00000000" w:rsidR="00000000" w:rsidRPr="00000000">
        <w:rPr>
          <w:b w:val="1"/>
          <w:bCs w:val="1"/>
          <w:sz w:val="46"/>
          <w:szCs w:val="46"/>
          <w:rtl w:val="0"/>
        </w:rPr>
        <w:t xml:space="preserve">8. Trazabilidad mínima</w:t>
      </w:r>
    </w:p>
    <w:p w:rsidR="00000000" w:rsidDel="00000000" w:rsidP="00000000" w:rsidRDefault="00000000" w:rsidRPr="00000000" w14:paraId="0000007C">
      <w:pPr>
        <w:spacing w:after="240" w:before="240" w:lineRule="auto"/>
        <w:rPr/>
      </w:pPr>
      <w:r w:rsidDel="00000000" w:rsidR="00000000" w:rsidRPr="00000000">
        <w:rPr>
          <w:rtl w:val="0"/>
        </w:rPr>
        <w:t xml:space="preserve">Todo dataset deberá poder responder, como mínimo, las siguientes preguntas: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007E">
      <w:pPr>
        <w:numPr>
          <w:ilvl w:val="0"/>
          <w:numId w:val="9"/>
        </w:numPr>
        <w:spacing w:after="240" w:before="240" w:lineRule="auto"/>
        <w:ind w:left="720" w:hanging="360"/>
      </w:pPr>
      <w:r w:rsidDel="00000000" w:rsidR="00000000" w:rsidRPr="00000000">
        <w:rPr>
          <w:rtl w:val="0"/>
        </w:rPr>
        <w:t xml:space="preserve">¿De qué fuente fue obtenido?</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Cobertura</w:t>
      </w:r>
    </w:p>
    <w:p w:rsidR="00000000" w:rsidDel="00000000" w:rsidP="00000000" w:rsidRDefault="00000000" w:rsidRPr="00000000" w14:paraId="00000080">
      <w:pPr>
        <w:numPr>
          <w:ilvl w:val="0"/>
          <w:numId w:val="12"/>
        </w:numPr>
        <w:spacing w:after="240" w:before="240" w:lineRule="auto"/>
        <w:ind w:left="720" w:hanging="360"/>
      </w:pPr>
      <w:r w:rsidDel="00000000" w:rsidR="00000000" w:rsidRPr="00000000">
        <w:rPr>
          <w:rtl w:val="0"/>
        </w:rPr>
        <w:t xml:space="preserve">¿Qué instrumento y período contiene?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Versión</w:t>
      </w:r>
    </w:p>
    <w:p w:rsidR="00000000" w:rsidDel="00000000" w:rsidP="00000000" w:rsidRDefault="00000000" w:rsidRPr="00000000" w14:paraId="00000082">
      <w:pPr>
        <w:numPr>
          <w:ilvl w:val="0"/>
          <w:numId w:val="13"/>
        </w:numPr>
        <w:spacing w:after="240" w:before="240" w:lineRule="auto"/>
        <w:ind w:left="720" w:hanging="360"/>
      </w:pPr>
      <w:r w:rsidDel="00000000" w:rsidR="00000000" w:rsidRPr="00000000">
        <w:rPr>
          <w:rtl w:val="0"/>
        </w:rPr>
        <w:t xml:space="preserve">¿Qué versión del dataset fue utilizada?</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0084">
      <w:pPr>
        <w:numPr>
          <w:ilvl w:val="0"/>
          <w:numId w:val="15"/>
        </w:numPr>
        <w:spacing w:after="240" w:before="240" w:lineRule="auto"/>
        <w:ind w:left="720" w:hanging="360"/>
      </w:pPr>
      <w:r w:rsidDel="00000000" w:rsidR="00000000" w:rsidRPr="00000000">
        <w:rPr>
          <w:rtl w:val="0"/>
        </w:rPr>
        <w:t xml:space="preserve">¿Cuál fue el resultado del proceso de calidad?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Disponibilidad</w:t>
      </w:r>
    </w:p>
    <w:p w:rsidR="00000000" w:rsidDel="00000000" w:rsidP="00000000" w:rsidRDefault="00000000" w:rsidRPr="00000000" w14:paraId="00000086">
      <w:pPr>
        <w:numPr>
          <w:ilvl w:val="0"/>
          <w:numId w:val="3"/>
        </w:numPr>
        <w:spacing w:after="240" w:before="240" w:lineRule="auto"/>
        <w:ind w:left="720" w:hanging="360"/>
      </w:pPr>
      <w:r w:rsidDel="00000000" w:rsidR="00000000" w:rsidRPr="00000000">
        <w:rPr>
          <w:rtl w:val="0"/>
        </w:rPr>
        <w:t xml:space="preserve">¿Se encontraba aprobado para consumo interno?</w:t>
      </w:r>
    </w:p>
    <w:p w:rsidR="00000000" w:rsidDel="00000000" w:rsidP="00000000" w:rsidRDefault="00000000" w:rsidRPr="00000000" w14:paraId="00000087">
      <w:pPr>
        <w:spacing w:after="240" w:before="240" w:lineRule="auto"/>
        <w:rPr/>
      </w:pPr>
      <w:r w:rsidDel="00000000" w:rsidR="00000000" w:rsidRPr="00000000">
        <w:rPr>
          <w:rtl w:val="0"/>
        </w:rPr>
        <w:t xml:space="preserve">Esta información constituye la trazabilidad mínima requerida por la plataforma.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tm35cs5kkljx" w:id="17"/>
      <w:bookmarkEnd w:id="17"/>
      <w:r w:rsidDel="00000000" w:rsidR="00000000" w:rsidRPr="00000000">
        <w:rPr>
          <w:b w:val="1"/>
          <w:bCs w:val="1"/>
          <w:sz w:val="46"/>
          <w:szCs w:val="46"/>
          <w:rtl w:val="0"/>
        </w:rPr>
        <w:t xml:space="preserve">9. Relación con la arquitectura existente</w:t>
      </w:r>
    </w:p>
    <w:p w:rsidR="00000000" w:rsidDel="00000000" w:rsidP="00000000" w:rsidRDefault="00000000" w:rsidRPr="00000000" w14:paraId="0000008A">
      <w:pPr>
        <w:spacing w:after="240" w:before="240" w:lineRule="auto"/>
        <w:rPr/>
      </w:pPr>
      <w:r w:rsidDel="00000000" w:rsidR="00000000" w:rsidRPr="00000000">
        <w:rPr>
          <w:rtl w:val="0"/>
        </w:rPr>
        <w:t xml:space="preserve">Este documento complementa:</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b w:val="1"/>
          <w:bCs w:val="1"/>
          <w:rtl w:val="0"/>
        </w:rPr>
        <w:t xml:space="preserve">DOC-018</w:t>
      </w:r>
      <w:r w:rsidDel="00000000" w:rsidR="00000000" w:rsidRPr="00000000">
        <w:rPr>
          <w:rtl w:val="0"/>
        </w:rPr>
        <w:t xml:space="preserve">, proporcionando el ciclo de vida posterior a la obtención de datos.</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b w:val="1"/>
          <w:bCs w:val="1"/>
          <w:rtl w:val="0"/>
        </w:rPr>
        <w:t xml:space="preserve">DOC-019</w:t>
      </w:r>
      <w:r w:rsidDel="00000000" w:rsidR="00000000" w:rsidRPr="00000000">
        <w:rPr>
          <w:rtl w:val="0"/>
        </w:rPr>
        <w:t xml:space="preserve">, incorporando la validación de calidad como una etapa del ciclo de vida.</w:t>
      </w:r>
    </w:p>
    <w:p w:rsidR="00000000" w:rsidDel="00000000" w:rsidP="00000000" w:rsidRDefault="00000000" w:rsidRPr="00000000" w14:paraId="0000008D">
      <w:pPr>
        <w:numPr>
          <w:ilvl w:val="0"/>
          <w:numId w:val="5"/>
        </w:numPr>
        <w:spacing w:after="240" w:before="0" w:beforeAutospacing="0" w:lineRule="auto"/>
        <w:ind w:left="720" w:hanging="360"/>
      </w:pPr>
      <w:r w:rsidDel="00000000" w:rsidR="00000000" w:rsidRPr="00000000">
        <w:rPr>
          <w:b w:val="1"/>
          <w:bCs w:val="1"/>
          <w:rtl w:val="0"/>
        </w:rPr>
        <w:t xml:space="preserve">DOC-021</w:t>
      </w:r>
      <w:r w:rsidDel="00000000" w:rsidR="00000000" w:rsidRPr="00000000">
        <w:rPr>
          <w:rtl w:val="0"/>
        </w:rPr>
        <w:t xml:space="preserve">, proporcionando datasets trazables para la ejecución de experimentos cuantitativos.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5iyfur8af5ld" w:id="18"/>
      <w:bookmarkEnd w:id="18"/>
      <w:r w:rsidDel="00000000" w:rsidR="00000000" w:rsidRPr="00000000">
        <w:rPr>
          <w:b w:val="1"/>
          <w:bCs w:val="1"/>
          <w:sz w:val="46"/>
          <w:szCs w:val="46"/>
          <w:rtl w:val="0"/>
        </w:rPr>
        <w:t xml:space="preserve">10. Fuera de alcance</w:t>
      </w:r>
    </w:p>
    <w:p w:rsidR="00000000" w:rsidDel="00000000" w:rsidP="00000000" w:rsidRDefault="00000000" w:rsidRPr="00000000" w14:paraId="00000090">
      <w:pPr>
        <w:spacing w:after="240" w:before="240" w:lineRule="auto"/>
        <w:rPr/>
      </w:pPr>
      <w:r w:rsidDel="00000000" w:rsidR="00000000" w:rsidRPr="00000000">
        <w:rPr>
          <w:rtl w:val="0"/>
        </w:rPr>
        <w:t xml:space="preserve">Este documento no define:</w:t>
      </w:r>
    </w:p>
    <w:p w:rsidR="00000000" w:rsidDel="00000000" w:rsidP="00000000" w:rsidRDefault="00000000" w:rsidRPr="00000000" w14:paraId="00000091">
      <w:pPr>
        <w:numPr>
          <w:ilvl w:val="0"/>
          <w:numId w:val="6"/>
        </w:numPr>
        <w:spacing w:after="0" w:afterAutospacing="0" w:before="240" w:lineRule="auto"/>
        <w:ind w:left="720" w:hanging="360"/>
      </w:pPr>
      <w:r w:rsidDel="00000000" w:rsidR="00000000" w:rsidRPr="00000000">
        <w:rPr>
          <w:rtl w:val="0"/>
        </w:rPr>
        <w:t xml:space="preserve">proveedores de datos;</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APIs específicas;</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formatos de almacenamiento;</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motores de bases de datos;</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tecnologías de persistencia;</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herramientas de procesamiento;</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mecanismos de distribución física;</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políticas de respaldo;</w:t>
      </w:r>
    </w:p>
    <w:p w:rsidR="00000000" w:rsidDel="00000000" w:rsidP="00000000" w:rsidRDefault="00000000" w:rsidRPr="00000000" w14:paraId="00000099">
      <w:pPr>
        <w:numPr>
          <w:ilvl w:val="0"/>
          <w:numId w:val="6"/>
        </w:numPr>
        <w:spacing w:after="240" w:before="0" w:beforeAutospacing="0" w:lineRule="auto"/>
        <w:ind w:left="720" w:hanging="360"/>
      </w:pPr>
      <w:r w:rsidDel="00000000" w:rsidR="00000000" w:rsidRPr="00000000">
        <w:rPr>
          <w:rtl w:val="0"/>
        </w:rPr>
        <w:t xml:space="preserve">optimizaciones de rendimiento.</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vyup4zkgcqr7" w:id="19"/>
      <w:bookmarkEnd w:id="19"/>
      <w:r w:rsidDel="00000000" w:rsidR="00000000" w:rsidRPr="00000000">
        <w:rPr>
          <w:b w:val="1"/>
          <w:bCs w:val="1"/>
          <w:sz w:val="46"/>
          <w:szCs w:val="46"/>
          <w:rtl w:val="0"/>
        </w:rPr>
        <w:t xml:space="preserve">11. Criterio de aceptación arquitectónica</w:t>
      </w:r>
    </w:p>
    <w:p w:rsidR="00000000" w:rsidDel="00000000" w:rsidP="00000000" w:rsidRDefault="00000000" w:rsidRPr="00000000" w14:paraId="0000009C">
      <w:pPr>
        <w:spacing w:after="240" w:before="240" w:lineRule="auto"/>
        <w:rPr/>
      </w:pPr>
      <w:r w:rsidDel="00000000" w:rsidR="00000000" w:rsidRPr="00000000">
        <w:rPr>
          <w:rtl w:val="0"/>
        </w:rPr>
        <w:t xml:space="preserve">Se considerará que la plataforma dispone de una Data Lifecycle Management Foundation cuando sea capaz de:</w:t>
      </w:r>
    </w:p>
    <w:p w:rsidR="00000000" w:rsidDel="00000000" w:rsidP="00000000" w:rsidRDefault="00000000" w:rsidRPr="00000000" w14:paraId="0000009D">
      <w:pPr>
        <w:numPr>
          <w:ilvl w:val="0"/>
          <w:numId w:val="11"/>
        </w:numPr>
        <w:spacing w:after="0" w:afterAutospacing="0" w:before="240" w:lineRule="auto"/>
        <w:ind w:left="720" w:hanging="360"/>
      </w:pPr>
      <w:r w:rsidDel="00000000" w:rsidR="00000000" w:rsidRPr="00000000">
        <w:rPr>
          <w:rtl w:val="0"/>
        </w:rPr>
        <w:t xml:space="preserve">identificar el origen de un dataset;</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representar los datos mediante contratos internos;</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validar su calidad sin modificar su contenido;</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registrar su identidad y versión;</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ponerlo a disposición de los procesos internos;</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mantener su trazabilidad durante todo su ciclo de vida.</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m5t07s9csyqi" w:id="20"/>
      <w:bookmarkEnd w:id="20"/>
      <w:r w:rsidDel="00000000" w:rsidR="00000000" w:rsidRPr="00000000">
        <w:rPr>
          <w:b w:val="1"/>
          <w:bCs w:val="1"/>
          <w:sz w:val="46"/>
          <w:szCs w:val="46"/>
          <w:rtl w:val="0"/>
        </w:rPr>
        <w:t xml:space="preserve">12. Relación con futuras capacidades</w:t>
      </w:r>
    </w:p>
    <w:p w:rsidR="00000000" w:rsidDel="00000000" w:rsidP="00000000" w:rsidRDefault="00000000" w:rsidRPr="00000000" w14:paraId="000000A5">
      <w:pPr>
        <w:spacing w:after="240" w:before="240" w:lineRule="auto"/>
        <w:rPr/>
      </w:pPr>
      <w:r w:rsidDel="00000000" w:rsidR="00000000" w:rsidRPr="00000000">
        <w:rPr>
          <w:rtl w:val="0"/>
        </w:rPr>
        <w:t xml:space="preserve">Este documento constituye la base arquitectónica para futuras capacidades relacionadas con:</w:t>
      </w:r>
    </w:p>
    <w:p w:rsidR="00000000" w:rsidDel="00000000" w:rsidP="00000000" w:rsidRDefault="00000000" w:rsidRPr="00000000" w14:paraId="000000A6">
      <w:pPr>
        <w:numPr>
          <w:ilvl w:val="0"/>
          <w:numId w:val="7"/>
        </w:numPr>
        <w:spacing w:after="0" w:afterAutospacing="0" w:before="240" w:lineRule="auto"/>
        <w:ind w:left="720" w:hanging="360"/>
      </w:pPr>
      <w:r w:rsidDel="00000000" w:rsidR="00000000" w:rsidRPr="00000000">
        <w:rPr>
          <w:rtl w:val="0"/>
        </w:rPr>
        <w:t xml:space="preserve">gestión de datasets;</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rtl w:val="0"/>
        </w:rPr>
        <w:t xml:space="preserve">investigación cuantitativa;</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backtesting;</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ejecución de estrategias;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rtl w:val="0"/>
        </w:rPr>
        <w:t xml:space="preserve">auditoría y reproducibilidad de resultados.</w:t>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