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</w:pPr>
      <w:r>
        <w:t>IT-021-001 - Research Dataset Consumption MVP</w:t>
      </w:r>
    </w:p>
    <w:p>
      <w:pPr>
        <w:pStyle w:val="Heading2"/>
      </w:pPr>
      <w:r>
        <w:t>TramitaGO Quant Platform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ID</w:t>
            </w:r>
          </w:p>
        </w:tc>
        <w:tc>
          <w:tcPr>
            <w:tcW w:type="dxa" w:w="4514"/>
          </w:tcPr>
          <w:p>
            <w:r>
              <w:t>IT-021-001</w:t>
            </w:r>
          </w:p>
        </w:tc>
      </w:tr>
      <w:tr>
        <w:tc>
          <w:tcPr>
            <w:tcW w:type="dxa" w:w="4514"/>
          </w:tcPr>
          <w:p>
            <w:r>
              <w:t>Nombre</w:t>
            </w:r>
          </w:p>
        </w:tc>
        <w:tc>
          <w:tcPr>
            <w:tcW w:type="dxa" w:w="4514"/>
          </w:tcPr>
          <w:p>
            <w:r>
              <w:t>Research Dataset Consumption MVP</w:t>
            </w:r>
          </w:p>
        </w:tc>
      </w:tr>
      <w:tr>
        <w:tc>
          <w:tcPr>
            <w:tcW w:type="dxa" w:w="4514"/>
          </w:tcPr>
          <w:p>
            <w:r>
              <w:t>Dominio</w:t>
            </w:r>
          </w:p>
        </w:tc>
        <w:tc>
          <w:tcPr>
            <w:tcW w:type="dxa" w:w="4514"/>
          </w:tcPr>
          <w:p>
            <w:r>
              <w:t>Quantitative Research</w:t>
            </w:r>
          </w:p>
        </w:tc>
      </w:tr>
      <w:tr>
        <w:tc>
          <w:tcPr>
            <w:tcW w:type="dxa" w:w="4514"/>
          </w:tcPr>
          <w:p>
            <w:r>
              <w:t>Relacionado con</w:t>
            </w:r>
          </w:p>
        </w:tc>
        <w:tc>
          <w:tcPr>
            <w:tcW w:type="dxa" w:w="4514"/>
          </w:tcPr>
          <w:p>
            <w:r>
              <w:t>DOC-021, DOC-022, DOC-024 v1.1, ADR-009, IT-024-003</w:t>
            </w:r>
          </w:p>
        </w:tc>
      </w:tr>
      <w:tr>
        <w:tc>
          <w:tcPr>
            <w:tcW w:type="dxa" w:w="4514"/>
          </w:tcPr>
          <w:p>
            <w:r>
              <w:t>Estado</w:t>
            </w:r>
          </w:p>
        </w:tc>
        <w:tc>
          <w:tcPr>
            <w:tcW w:type="dxa" w:w="4514"/>
          </w:tcPr>
          <w:p>
            <w:r>
              <w:t>Updated</w:t>
            </w:r>
          </w:p>
        </w:tc>
      </w:tr>
    </w:tbl>
    <w:p>
      <w:pPr>
        <w:pStyle w:val="Heading1"/>
      </w:pPr>
      <w:r>
        <w:t>1. Objetivo</w:t>
      </w:r>
    </w:p>
    <w:p>
      <w:pPr/>
      <w:r>
        <w:t>Permitir que un proceso de investigación utilice un dataset disponible mediante un contrato estable, preservando trazabilidad y reproducibilidad. La capacidad no administra disponibilidad: consume la frontera pública provista por Data Platform.</w:t>
      </w:r>
    </w:p>
    <w:p>
      <w:pPr>
        <w:pStyle w:val="Heading1"/>
      </w:pPr>
      <w:r>
        <w:t>2. Cambio de contrato</w:t>
      </w:r>
    </w:p>
    <w:p>
      <w:pPr/>
      <w:r>
        <w:t>La responsabilidad de Research Consumption se conserva; cambia únicamente su dependencia de entrada.</w:t>
      </w:r>
    </w:p>
    <w:p>
      <w:pPr>
        <w:pStyle w:val="Heading2"/>
      </w:pPr>
      <w:r>
        <w:t>Antes</w:t>
      </w:r>
    </w:p>
    <w:p>
      <w:pPr/>
      <w:r>
        <w:t>DatasetRegistry -&gt; DatasetAccess -&gt; Research Dataset Consumer</w:t>
      </w:r>
    </w:p>
    <w:p>
      <w:pPr/>
      <w:r>
        <w:t>Entrada: DatasetRecord. Esta ruta expone metadata administrativa sin garantizar contenido disponible y resoluble.</w:t>
      </w:r>
    </w:p>
    <w:p>
      <w:pPr>
        <w:pStyle w:val="Heading2"/>
      </w:pPr>
      <w:r>
        <w:t>Después</w:t>
      </w:r>
    </w:p>
    <w:p>
      <w:pPr/>
      <w:r>
        <w:t>DatasetAvailability -&gt; DatasetAvailabilityAccess -&gt; Research Dataset Consumer</w:t>
      </w:r>
    </w:p>
    <w:p>
      <w:pPr/>
      <w:r>
        <w:t>Entrada: AvailableDataset. El contrato entrega dataset_id, version, content_reference, quality_reference y coverage sin exponer registry, store ni estado interno.</w:t>
      </w:r>
    </w:p>
    <w:p>
      <w:pPr>
        <w:pStyle w:val="Heading1"/>
      </w:pPr>
      <w:r>
        <w:t>3. Alcance</w:t>
      </w:r>
    </w:p>
    <w:p>
      <w:pPr>
        <w:pStyle w:val="Heading2"/>
      </w:pPr>
      <w:r>
        <w:t>Incluye</w:t>
      </w:r>
    </w:p>
    <w:p>
      <w:pPr/>
      <w:r>
        <w:t>Consumo de AvailableDataset mediante DatasetAvailabilityAccess.</w:t>
      </w:r>
    </w:p>
    <w:p>
      <w:pPr/>
      <w:r>
        <w:t>Conservación de dataset_id, versión, referencia de contenido y referencia de calidad.</w:t>
      </w:r>
    </w:p>
    <w:p>
      <w:pPr/>
      <w:r>
        <w:t>Construcción de Research Dataset Context a partir del contrato público.</w:t>
      </w:r>
    </w:p>
    <w:p>
      <w:pPr/>
      <w:r>
        <w:t>Lectura sin dependencias directas de DatasetRegistry ni DatasetContentStore.</w:t>
      </w:r>
    </w:p>
    <w:p>
      <w:pPr>
        <w:pStyle w:val="Heading2"/>
      </w:pPr>
      <w:r>
        <w:t>Fuera de alcance</w:t>
      </w:r>
    </w:p>
    <w:p>
      <w:pPr/>
      <w:r>
        <w:t>Almacenamiento, calidad, validación, publicación de disponibilidad, versionado avanzado, transformación, estrategias, backtesting, modelos predictivos y Knowledge.</w:t>
      </w:r>
    </w:p>
    <w:p>
      <w:pPr>
        <w:pStyle w:val="Heading1"/>
      </w:pPr>
      <w:r>
        <w:t>4. Arquitectura</w:t>
      </w:r>
    </w:p>
    <w:p>
      <w:pPr/>
      <w:r>
        <w:t>MarketData -&gt; QualityReport -&gt; DatasetRegistry -&gt; DatasetAvailability -&gt; DatasetAvailabilityAccess -&gt; Research Consumption -&gt; Experiment -&gt; Result -&gt; Knowledge</w:t>
      </w:r>
    </w:p>
    <w:p>
      <w:pPr/>
      <w:r>
        <w:t>Research no accede a DatasetRegistry, DatasetAccess ni DatasetContentStore. Data Platform conserva la responsabilidad de registrar, asociar y resolver contenido; Research consume la representación disponible.</w:t>
      </w:r>
    </w:p>
    <w:p>
      <w:pPr>
        <w:pStyle w:val="Heading1"/>
      </w:pPr>
      <w:r>
        <w:t>5. Contratos</w:t>
      </w:r>
    </w:p>
    <w:p>
      <w:pPr>
        <w:pStyle w:val="Heading2"/>
      </w:pPr>
      <w:r>
        <w:t>5.1 Entrada: AvailableDataset</w:t>
      </w:r>
    </w:p>
    <w:p>
      <w:pPr/>
      <w:r>
        <w:t>AvailableDataset contiene dataset_id, version, content_reference, quality_reference y coverage. Es el único contrato de datos que Research Dataset Consumer recibe desde Data Platform.</w:t>
      </w:r>
    </w:p>
    <w:p>
      <w:pPr>
        <w:pStyle w:val="Heading2"/>
      </w:pPr>
      <w:r>
        <w:t>5.2 Salida: Research Dataset Context</w:t>
      </w:r>
    </w:p>
    <w:p>
      <w:pPr/>
      <w:r>
        <w:t>El contexto de investigación conserva la identidad y las referencias del AvailableDataset para que un experimento pueda identificar dataset usado, versión y configuración sin conocer internals de Data.</w:t>
      </w:r>
    </w:p>
    <w:p>
      <w:pPr>
        <w:pStyle w:val="Heading1"/>
      </w:pPr>
      <w:r>
        <w:t>6. Componentes</w:t>
      </w:r>
    </w:p>
    <w:p>
      <w:pPr>
        <w:pStyle w:val="Heading2"/>
      </w:pPr>
      <w:r>
        <w:t>6.1 ResearchDatasetConsumer</w:t>
      </w:r>
    </w:p>
    <w:p>
      <w:pPr/>
      <w:r>
        <w:t>Solicita un dataset por dataset_id a DatasetAvailabilityAccess y devuelve AvailableDataset o ausencia. No valida calidad, no publica datasets y no modifica MarketData.</w:t>
      </w:r>
    </w:p>
    <w:p>
      <w:pPr>
        <w:pStyle w:val="Heading2"/>
      </w:pPr>
      <w:r>
        <w:t>6.2 DatasetAvailabilityAccess</w:t>
      </w:r>
    </w:p>
    <w:p>
      <w:pPr/>
      <w:r>
        <w:t>Es la frontera de lectura consumida por Research. Expone get(dataset_id), exists(dataset_id) y list(); no expone registry, store ni mutación.</w:t>
      </w:r>
    </w:p>
    <w:p>
      <w:pPr>
        <w:pStyle w:val="Heading1"/>
      </w:pPr>
      <w:r>
        <w:t>7. Pruebas</w:t>
      </w:r>
    </w:p>
    <w:p>
      <w:pPr/>
      <w:r>
        <w:t>Debe verificarse que Research consume un AvailableDataset publicado, conserva dataset_id, versión y quality_reference, devuelve ausencia cuando el dataset no está disponible y no importa DatasetRegistry, DatasetAccess ni DatasetContentStore.</w:t>
      </w:r>
    </w:p>
    <w:p>
      <w:pPr>
        <w:pStyle w:val="Heading1"/>
      </w:pPr>
      <w:r>
        <w:t>8. Criterios de aceptación</w:t>
      </w:r>
    </w:p>
    <w:p>
      <w:pPr/>
      <w:r>
        <w:t>IT-021-001 se acepta cuando Research depende de DatasetAvailabilityAccess; la entrada es AvailableDataset; se preserva la trazabilidad; no existen dependencias de internals de Data; y las pruebas y demo reproducible pasan.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64" w:lineRule="auto"/>
    </w:pPr>
    <w:rPr>
      <w:rFonts w:ascii="Calibri" w:hAnsi="Calibri"/>
      <w:sz w:val="22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320" w:lineRule="auto"/>
    </w:pPr>
    <w:rPr>
      <w:rFonts w:ascii="Calibri" w:hAnsi="Calibri"/>
      <w:color w:val="2E74B5"/>
      <w:sz w:val="32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40" w:lineRule="auto"/>
    </w:pPr>
    <w:rPr>
      <w:rFonts w:ascii="Calibri" w:hAnsi="Calibri"/>
      <w:b w:val="0"/>
      <w:bCs w:val="0"/>
      <w:color w:val="2E74B5"/>
      <w:sz w:val="26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