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plozay1ic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DOC-000 — Índice Maestro de Arquitectura y Gobierno Documental</w:t>
      </w:r>
    </w:p>
    <w:p w:rsidR="00000000" w:rsidDel="00000000" w:rsidP="00000000" w:rsidRDefault="00000000" w:rsidRPr="00000000" ns1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zkngm3y5g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h92q2hx3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 del documento</w:t>
      </w:r>
    </w:p>
    <w:p w:rsidR="00000000" w:rsidDel="00000000" w:rsidP="00000000" w:rsidRDefault="00000000" w:rsidRPr="00000000" ns1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DOC-000</w:t>
      </w:r>
    </w:p>
    <w:p w:rsidR="00000000" w:rsidDel="00000000" w:rsidP="00000000" w:rsidRDefault="00000000" w:rsidRPr="00000000" ns1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Índice Maestro de Arquitectura y Gobierno Documental</w:t>
      </w:r>
    </w:p>
    <w:p w:rsidR="00000000" w:rsidDel="00000000" w:rsidP="00000000" w:rsidRDefault="00000000" w:rsidRPr="00000000" ns1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ns1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(Baseline 1.0 candidate)</w:t>
      </w:r>
    </w:p>
    <w:p w:rsidR="00000000" w:rsidDel="00000000" w:rsidP="00000000" w:rsidRDefault="00000000" w:rsidRPr="00000000" ns1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Documento de Gobierno del Sistema</w:t>
      </w:r>
    </w:p>
    <w:p w:rsidR="00000000" w:rsidDel="00000000" w:rsidP="00000000" w:rsidRDefault="00000000" w:rsidRPr="00000000" ns1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  <w:r w:rsidDel="00000000" w:rsidR="00000000" w:rsidRPr="00000000">
        <w:rPr>
          <w:rtl w:val="0"/>
        </w:rPr>
        <w:t xml:space="preserve"> Todos los DOC y ADR existentes</w:t>
      </w:r>
    </w:p>
    <w:p w:rsidR="00000000" w:rsidDel="00000000" w:rsidP="00000000" w:rsidRDefault="00000000" w:rsidRPr="00000000" ns1:paraId="0000000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rzi8y9iqe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ns1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</w:t>
      </w:r>
      <w:r w:rsidDel="00000000" w:rsidR="00000000" w:rsidRPr="00000000">
        <w:rPr>
          <w:b w:val="1"/>
          <w:bCs w:val="1"/>
          <w:rtl w:val="0"/>
        </w:rPr>
        <w:t xml:space="preserve">estructura oficial, trazabilidad y reglas de gobierno de toda la documentación del sistema TramitaGO Quant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ns1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no es técnica.</w:t>
      </w:r>
    </w:p>
    <w:p w:rsidR="00000000" w:rsidDel="00000000" w:rsidP="00000000" w:rsidRDefault="00000000" w:rsidRPr="00000000" ns1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ns1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 un conjunto de documentos en un sistema documental gobernado, reproducible y auditable.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ygn74vcpc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 del sistema</w:t>
      </w:r>
    </w:p>
    <w:p w:rsidR="00000000" w:rsidDel="00000000" w:rsidP="00000000" w:rsidRDefault="00000000" w:rsidRPr="00000000" ns1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encuentra en:</w:t>
      </w:r>
    </w:p>
    <w:p w:rsidR="00000000" w:rsidDel="00000000" w:rsidP="00000000" w:rsidRDefault="00000000" w:rsidRPr="00000000" ns1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de transición entre diseño arquitectónico y construcción del MVP</w:t>
      </w:r>
    </w:p>
    <w:p w:rsidR="00000000" w:rsidDel="00000000" w:rsidP="00000000" w:rsidRDefault="00000000" w:rsidRPr="00000000" ns1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implica:</w:t>
      </w:r>
    </w:p>
    <w:p w:rsidR="00000000" w:rsidDel="00000000" w:rsidP="00000000" w:rsidRDefault="00000000" w:rsidRPr="00000000" ns1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está definida en alto nivel.</w:t>
      </w:r>
    </w:p>
    <w:p w:rsidR="00000000" w:rsidDel="00000000" w:rsidP="00000000" w:rsidRDefault="00000000" w:rsidRPr="00000000" ns1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primeros módulos técnicos han sido diseñados.</w:t>
      </w:r>
    </w:p>
    <w:p w:rsidR="00000000" w:rsidDel="00000000" w:rsidP="00000000" w:rsidRDefault="00000000" w:rsidRPr="00000000" ns1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Aún no existe producción ni ejecución real de trading.</w:t>
      </w:r>
    </w:p>
    <w:p w:rsidR="00000000" w:rsidDel="00000000" w:rsidP="00000000" w:rsidRDefault="00000000" w:rsidRPr="00000000" ns1:paraId="0000001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vwtur83n0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Baseline vigente</w:t>
      </w:r>
    </w:p>
    <w:p w:rsidR="00000000" w:rsidDel="00000000" w:rsidP="00000000" w:rsidRDefault="00000000" w:rsidRPr="00000000" ns1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7x8s8md5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0.x (Pre-implementación controlada)</w:t>
      </w:r>
    </w:p>
    <w:p w:rsidR="00000000" w:rsidDel="00000000" w:rsidP="00000000" w:rsidRDefault="00000000" w:rsidRPr="00000000" ns1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ns1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 a DOC-015 (reestructurados)</w:t>
      </w:r>
    </w:p>
    <w:p w:rsidR="00000000" w:rsidDel="00000000" w:rsidP="00000000" w:rsidRDefault="00000000" w:rsidRPr="00000000" ns1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ADR-001 a ADR-006</w:t>
      </w:r>
    </w:p>
    <w:p w:rsidR="00000000" w:rsidDel="00000000" w:rsidP="00000000" w:rsidRDefault="00000000" w:rsidRPr="00000000" ns1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ns1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conceptual estabilizada</w:t>
      </w:r>
    </w:p>
    <w:p w:rsidR="00000000" w:rsidDel="00000000" w:rsidP="00000000" w:rsidRDefault="00000000" w:rsidRPr="00000000" ns1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técnicas iniciales definidas</w:t>
      </w:r>
    </w:p>
    <w:p w:rsidR="00000000" w:rsidDel="00000000" w:rsidP="00000000" w:rsidRDefault="00000000" w:rsidRPr="00000000" ns1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implementación MVP en curso</w:t>
      </w:r>
    </w:p>
    <w:p w:rsidR="00000000" w:rsidDel="00000000" w:rsidP="00000000" w:rsidRDefault="00000000" w:rsidRPr="00000000" ns1:paraId="0000002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512bdobi5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Estructura oficial del sistema documental</w:t>
      </w:r>
    </w:p>
    <w:p w:rsidR="00000000" w:rsidDel="00000000" w:rsidP="00000000" w:rsidRDefault="00000000" w:rsidRPr="00000000" ns1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ogbtxpj2d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Tipos de artefactos</w:t>
      </w:r>
    </w:p>
    <w:p w:rsidR="00000000" w:rsidDel="00000000" w:rsidP="00000000" w:rsidRDefault="00000000" w:rsidRPr="00000000" ns1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está compuesto por:</w:t>
      </w:r>
    </w:p>
    <w:p w:rsidR="00000000" w:rsidDel="00000000" w:rsidP="00000000" w:rsidRDefault="00000000" w:rsidRPr="00000000" ns1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DOC: documentos de gobierno, arquitectura y diseño;</w:t>
      </w:r>
    </w:p>
    <w:p w:rsidR="00000000" w:rsidDel="00000000" w:rsidP="00000000" w:rsidRDefault="00000000" w:rsidRPr="00000000" ns1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ADR: decisiones arquitectónicas formales;</w:t>
      </w:r>
    </w:p>
    <w:p w:rsidR="00000000" w:rsidDel="00000000" w:rsidP="00000000" w:rsidRDefault="00000000" w:rsidRPr="00000000" ns1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IT: especificaciones técnicas incrementales;</w:t>
      </w:r>
    </w:p>
    <w:p w:rsidR="00000000" w:rsidDel="00000000" w:rsidP="00000000" w:rsidRDefault="00000000" w:rsidRPr="00000000" ns1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fuente;</w:t>
      </w:r>
    </w:p>
    <w:p w:rsidR="00000000" w:rsidDel="00000000" w:rsidP="00000000" w:rsidRDefault="00000000" w:rsidRPr="00000000" ns1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configuración;</w:t>
      </w:r>
    </w:p>
    <w:p w:rsidR="00000000" w:rsidDel="00000000" w:rsidP="00000000" w:rsidRDefault="00000000" w:rsidRPr="00000000" ns1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pruebas;</w:t>
      </w:r>
    </w:p>
    <w:p w:rsidR="00000000" w:rsidDel="00000000" w:rsidP="00000000" w:rsidRDefault="00000000" w:rsidRPr="00000000" ns1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experimentación.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o01yw0bwa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Jerarquía de gobernanza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1 → DOC-000 (Gobierno del sistema)</w:t>
      </w:r>
    </w:p>
    <w:p w:rsidR="00000000" w:rsidDel="00000000" w:rsidP="00000000" w:rsidRDefault="00000000" w:rsidRPr="00000000" ns1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2 → DOC (Arquitectura y diseño)</w:t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3 → ADR (Decisiones técnicas)</w:t>
      </w:r>
    </w:p>
    <w:p w:rsidR="00000000" w:rsidDel="00000000" w:rsidP="00000000" w:rsidRDefault="00000000" w:rsidRPr="00000000" ns1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4 → Implementación (Python MVP)</w:t>
      </w:r>
    </w:p>
    <w:p w:rsidR="00000000" w:rsidDel="00000000" w:rsidP="00000000" w:rsidRDefault="00000000" w:rsidRPr="00000000" ns1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5 → Evolución y optimización</w:t>
      </w:r>
    </w:p>
    <w:p w:rsidR="00000000" w:rsidDel="00000000" w:rsidP="00000000" w:rsidRDefault="00000000" w:rsidRPr="00000000" ns1:paraId="00000036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eotql6bfx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Convenciones de identificación</w:t>
      </w:r>
    </w:p>
    <w:p w:rsidR="00000000" w:rsidDel="00000000" w:rsidP="00000000" w:rsidRDefault="00000000" w:rsidRPr="00000000" ns1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356dpg0ym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Documentos</w:t>
      </w:r>
    </w:p>
    <w:p w:rsidR="00000000" w:rsidDel="00000000" w:rsidP="00000000" w:rsidRDefault="00000000" w:rsidRPr="00000000" ns1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Prefijo: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</w:t>
      </w:r>
    </w:p>
    <w:p w:rsidR="00000000" w:rsidDel="00000000" w:rsidP="00000000" w:rsidRDefault="00000000" w:rsidRPr="00000000" ns1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DOC-XXX</w:t>
      </w:r>
    </w:p>
    <w:p w:rsidR="00000000" w:rsidDel="00000000" w:rsidP="00000000" w:rsidRDefault="00000000" w:rsidRPr="00000000" ns1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Regla: </w:t>
      </w:r>
      <w:r w:rsidDel="00000000" w:rsidR="00000000" w:rsidRPr="00000000">
        <w:rPr>
          <w:b w:val="1"/>
          <w:bCs w:val="1"/>
          <w:rtl w:val="0"/>
        </w:rPr>
        <w:t xml:space="preserve">inmutable una vez asignado</w:t>
      </w:r>
    </w:p>
    <w:p w:rsidR="00000000" w:rsidDel="00000000" w:rsidP="00000000" w:rsidRDefault="00000000" w:rsidRPr="00000000" ns1:paraId="0000003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px31v77oi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ADR</w:t>
      </w:r>
    </w:p>
    <w:p w:rsidR="00000000" w:rsidDel="00000000" w:rsidP="00000000" w:rsidRDefault="00000000" w:rsidRPr="00000000" ns1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Prefijo: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ADR-</w:t>
      </w:r>
    </w:p>
    <w:p w:rsidR="00000000" w:rsidDel="00000000" w:rsidP="00000000" w:rsidRDefault="00000000" w:rsidRPr="00000000" ns1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ADR-XXX</w:t>
      </w:r>
    </w:p>
    <w:p w:rsidR="00000000" w:rsidDel="00000000" w:rsidP="00000000" w:rsidRDefault="00000000" w:rsidRPr="00000000" ns1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Regla: decisiones independientes de implementación</w:t>
      </w:r>
    </w:p>
    <w:p w:rsidR="00000000" w:rsidDel="00000000" w:rsidP="00000000" w:rsidRDefault="00000000" w:rsidRPr="00000000" ns1:paraId="0000004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2">
      <w:pPr>
        <w:pStyle w:val="Heading2"/>
        <w:spacing w:after="240" w:before="240" w:lineRule="auto"/>
        <w:rPr/>
      </w:pPr>
      <w:bookmarkStart w:colFirst="0" w:colLast="0" w:name="_hehb4slzaxb0" w:id="13"/>
      <w:bookmarkEnd w:id="13"/>
      <w:r w:rsidDel="00000000" w:rsidR="00000000" w:rsidRPr="00000000">
        <w:rPr>
          <w:rtl w:val="0"/>
        </w:rPr>
        <w:t xml:space="preserve">6.3 Especificaciones técnicas</w:t>
      </w:r>
    </w:p>
    <w:p w:rsidR="00000000" w:rsidDel="00000000" w:rsidP="00000000" w:rsidRDefault="00000000" w:rsidRPr="00000000" ns1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Prefijo ordinario:</w:t>
      </w:r>
    </w:p>
    <w:p w:rsidR="00000000" w:rsidDel="00000000" w:rsidP="00000000" w:rsidRDefault="00000000" w:rsidRPr="00000000" ns1:paraId="0000004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IT-XXX-YYY</w:t>
      </w:r>
    </w:p>
    <w:p w:rsidR="00000000" w:rsidDel="00000000" w:rsidP="00000000" w:rsidRDefault="00000000" w:rsidRPr="00000000" ns1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ns1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XXX identifica la Capability propietaria;</w:t>
      </w:r>
    </w:p>
    <w:p w:rsidR="00000000" w:rsidDel="00000000" w:rsidP="00000000" w:rsidRDefault="00000000" w:rsidRPr="00000000" ns1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YYY identifica el incremento secuencial dentro de dicha Capability.</w:t>
      </w:r>
    </w:p>
    <w:p w:rsidR="00000000" w:rsidDel="00000000" w:rsidP="00000000" w:rsidRDefault="00000000" w:rsidRPr="00000000" ns1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Formato transversal excepcional:</w:t>
      </w:r>
    </w:p>
    <w:p w:rsidR="00000000" w:rsidDel="00000000" w:rsidP="00000000" w:rsidRDefault="00000000" w:rsidRPr="00000000" ns1:paraId="000000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IT-REF-YYY</w:t>
      </w:r>
    </w:p>
    <w:p w:rsidR="00000000" w:rsidDel="00000000" w:rsidP="00000000" w:rsidRDefault="00000000" w:rsidRPr="00000000" ns1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formato IT-REF-YYY se reserva exclusivamente para incrementos técnicos de contratos de referencia transversales autorizados previamente mediante ADR.</w:t>
      </w:r>
    </w:p>
    <w:p w:rsidR="00000000" w:rsidDel="00000000" w:rsidP="00000000" w:rsidRDefault="00000000" w:rsidRPr="00000000" ns1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 existencia no crea una Capability REF ni establece una autorización general para nuevos dominios compartidos.</w:t>
      </w:r>
    </w:p>
    <w:p w:rsidR="00000000" w:rsidDel="00000000" w:rsidP="00000000" w:rsidRDefault="00000000" w:rsidRPr="00000000" ns1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Primer identificador autorizado:</w:t>
      </w:r>
    </w:p>
    <w:p w:rsidR="00000000" w:rsidDel="00000000" w:rsidP="00000000" w:rsidRDefault="00000000" w:rsidRPr="00000000" ns1:paraId="0000004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IT-REF-001 — Reference Identity Domain Contracts MVP.</w:t>
      </w:r>
    </w:p>
    <w:p w:rsidR="00000000" w:rsidDel="00000000" w:rsidP="00000000" w:rsidRDefault="00000000" w:rsidRPr="00000000" ns1:paraId="0000005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m5zulco4z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Ciclo de vida de documentos</w:t>
      </w:r>
    </w:p>
    <w:p w:rsidR="00000000" w:rsidDel="00000000" w:rsidP="00000000" w:rsidRDefault="00000000" w:rsidRPr="00000000" ns1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79al7by0t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permitidos</w:t>
      </w:r>
    </w:p>
    <w:p w:rsidR="00000000" w:rsidDel="00000000" w:rsidP="00000000" w:rsidRDefault="00000000" w:rsidRPr="00000000" ns1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ns1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ns1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ns1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ns1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ns1:paraId="0000005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w7kvlxmr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</w:t>
      </w:r>
    </w:p>
    <w:p w:rsidR="00000000" w:rsidDel="00000000" w:rsidP="00000000" w:rsidRDefault="00000000" w:rsidRPr="00000000" ns1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documentos Approved pueden guiar implementación</w:t>
      </w:r>
    </w:p>
    <w:p w:rsidR="00000000" w:rsidDel="00000000" w:rsidP="00000000" w:rsidRDefault="00000000" w:rsidRPr="00000000" ns1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puede cambiar libremente</w:t>
      </w:r>
    </w:p>
    <w:p w:rsidR="00000000" w:rsidDel="00000000" w:rsidP="00000000" w:rsidRDefault="00000000" w:rsidRPr="00000000" ns1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 debe mantenerse por trazabilidad</w:t>
      </w:r>
    </w:p>
    <w:p w:rsidR="00000000" w:rsidDel="00000000" w:rsidP="00000000" w:rsidRDefault="00000000" w:rsidRPr="00000000" ns1:paraId="0000005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x7hrnu4w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Registro de decisiones pendientes (estratégicas)</w:t>
      </w:r>
    </w:p>
    <w:p w:rsidR="00000000" w:rsidDel="00000000" w:rsidP="00000000" w:rsidRDefault="00000000" w:rsidRPr="00000000" ns1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reconocen como válidas pero no activas:</w:t>
      </w:r>
    </w:p>
    <w:p w:rsidR="00000000" w:rsidDel="00000000" w:rsidP="00000000" w:rsidRDefault="00000000" w:rsidRPr="00000000" ns1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migración a proveedor de datos profesional</w:t>
      </w:r>
    </w:p>
    <w:p w:rsidR="00000000" w:rsidDel="00000000" w:rsidP="00000000" w:rsidRDefault="00000000" w:rsidRPr="00000000" ns1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event-driven backtesting</w:t>
      </w:r>
    </w:p>
    <w:p w:rsidR="00000000" w:rsidDel="00000000" w:rsidP="00000000" w:rsidRDefault="00000000" w:rsidRPr="00000000" ns1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persistente</w:t>
      </w:r>
    </w:p>
    <w:p w:rsidR="00000000" w:rsidDel="00000000" w:rsidP="00000000" w:rsidRDefault="00000000" w:rsidRPr="00000000" ns1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ns1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para optimización de estrategias</w:t>
      </w:r>
    </w:p>
    <w:p w:rsidR="00000000" w:rsidDel="00000000" w:rsidP="00000000" w:rsidRDefault="00000000" w:rsidRPr="00000000" ns1:paraId="0000006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xjsv2o2l1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consistencia documental</w:t>
      </w:r>
    </w:p>
    <w:p w:rsidR="00000000" w:rsidDel="00000000" w:rsidP="00000000" w:rsidRDefault="00000000" w:rsidRPr="00000000" ns1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o modificar cualquier documento:</w:t>
      </w:r>
    </w:p>
    <w:p w:rsidR="00000000" w:rsidDel="00000000" w:rsidP="00000000" w:rsidRDefault="00000000" w:rsidRPr="00000000" ns1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coherencia con DOC-000</w:t>
      </w:r>
    </w:p>
    <w:p w:rsidR="00000000" w:rsidDel="00000000" w:rsidP="00000000" w:rsidRDefault="00000000" w:rsidRPr="00000000" ns1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numeración existente</w:t>
      </w:r>
    </w:p>
    <w:p w:rsidR="00000000" w:rsidDel="00000000" w:rsidP="00000000" w:rsidRDefault="00000000" w:rsidRPr="00000000" ns1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dependencias</w:t>
      </w:r>
    </w:p>
    <w:p w:rsidR="00000000" w:rsidDel="00000000" w:rsidP="00000000" w:rsidRDefault="00000000" w:rsidRPr="00000000" ns1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duplicidad conceptual</w:t>
      </w:r>
    </w:p>
    <w:p w:rsidR="00000000" w:rsidDel="00000000" w:rsidP="00000000" w:rsidRDefault="00000000" w:rsidRPr="00000000" ns1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posición en la secuencia lógica</w:t>
      </w:r>
    </w:p>
    <w:p w:rsidR="00000000" w:rsidDel="00000000" w:rsidP="00000000" w:rsidRDefault="00000000" w:rsidRPr="00000000" ns1:paraId="0000006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pu19liv0e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Principios de gobierno</w:t>
      </w:r>
    </w:p>
    <w:p w:rsidR="00000000" w:rsidDel="00000000" w:rsidP="00000000" w:rsidRDefault="00000000" w:rsidRPr="00000000" ns1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dk9owbtoo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Fuente única de verdad</w:t>
      </w:r>
    </w:p>
    <w:p w:rsidR="00000000" w:rsidDel="00000000" w:rsidP="00000000" w:rsidRDefault="00000000" w:rsidRPr="00000000" ns1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conocimiento del sistema debe poder reconstruirse desde esta estructura.</w:t>
      </w:r>
    </w:p>
    <w:p w:rsidR="00000000" w:rsidDel="00000000" w:rsidP="00000000" w:rsidRDefault="00000000" w:rsidRPr="00000000" ns1:paraId="0000007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2lvl3zk4v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Evolución controlada</w:t>
      </w:r>
    </w:p>
    <w:p w:rsidR="00000000" w:rsidDel="00000000" w:rsidP="00000000" w:rsidRDefault="00000000" w:rsidRPr="00000000" ns1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evoluciona solo mediante:</w:t>
      </w:r>
    </w:p>
    <w:p w:rsidR="00000000" w:rsidDel="00000000" w:rsidP="00000000" w:rsidRDefault="00000000" w:rsidRPr="00000000" ns1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documentos</w:t>
      </w:r>
    </w:p>
    <w:p w:rsidR="00000000" w:rsidDel="00000000" w:rsidP="00000000" w:rsidRDefault="00000000" w:rsidRPr="00000000" ns1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ADR</w:t>
      </w:r>
    </w:p>
    <w:p w:rsidR="00000000" w:rsidDel="00000000" w:rsidP="00000000" w:rsidRDefault="00000000" w:rsidRPr="00000000" ns1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explícitas</w:t>
      </w:r>
    </w:p>
    <w:p w:rsidR="00000000" w:rsidDel="00000000" w:rsidP="00000000" w:rsidRDefault="00000000" w:rsidRPr="00000000" ns1:paraId="0000007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sev1d8u5q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Trazabilidad total</w:t>
      </w:r>
    </w:p>
    <w:p w:rsidR="00000000" w:rsidDel="00000000" w:rsidP="00000000" w:rsidRDefault="00000000" w:rsidRPr="00000000" ns1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 poder explicarse retrospectivamente.</w:t>
      </w:r>
    </w:p>
    <w:p w:rsidR="00000000" w:rsidDel="00000000" w:rsidP="00000000" w:rsidRDefault="00000000" w:rsidRPr="00000000" ns1:paraId="0000007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whfb0req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No pérdida de información</w:t>
      </w:r>
    </w:p>
    <w:p w:rsidR="00000000" w:rsidDel="00000000" w:rsidP="00000000" w:rsidRDefault="00000000" w:rsidRPr="00000000" ns1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se elimina del sistema documental, solo cambia de estado.</w:t>
      </w:r>
    </w:p>
    <w:p w:rsidR="00000000" w:rsidDel="00000000" w:rsidP="00000000" w:rsidRDefault="00000000" w:rsidRPr="00000000" ns1:paraId="0000007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cfmj2xz9y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Reorganización previa a Baseline 1.0</w:t>
      </w:r>
    </w:p>
    <w:p w:rsidR="00000000" w:rsidDel="00000000" w:rsidP="00000000" w:rsidRDefault="00000000" w:rsidRPr="00000000" ns1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formalmente que:</w:t>
      </w:r>
    </w:p>
    <w:p w:rsidR="00000000" w:rsidDel="00000000" w:rsidP="00000000" w:rsidRDefault="00000000" w:rsidRPr="00000000" ns1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DOC-014 → Estándares de Desarrollo de Software</w:t>
      </w:r>
    </w:p>
    <w:p w:rsidR="00000000" w:rsidDel="00000000" w:rsidP="00000000" w:rsidRDefault="00000000" w:rsidRPr="00000000" ns1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DOC-015 → Implementación del Data Loader (MVP v0.1)</w:t>
      </w:r>
    </w:p>
    <w:p w:rsidR="00000000" w:rsidDel="00000000" w:rsidP="00000000" w:rsidRDefault="00000000" w:rsidRPr="00000000" ns1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DOC-016 → Data Cleaner (planificado)</w:t>
      </w:r>
    </w:p>
    <w:p w:rsidR="00000000" w:rsidDel="00000000" w:rsidP="00000000" w:rsidRDefault="00000000" w:rsidRPr="00000000" ns1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reorganización se considera:</w:t>
      </w:r>
    </w:p>
    <w:p w:rsidR="00000000" w:rsidDel="00000000" w:rsidP="00000000" w:rsidRDefault="00000000" w:rsidRPr="00000000" ns1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corrección estructural previa al congelamiento de Baseline 1.0</w:t>
      </w:r>
    </w:p>
    <w:p w:rsidR="00000000" w:rsidDel="00000000" w:rsidP="00000000" w:rsidRDefault="00000000" w:rsidRPr="00000000" ns1:paraId="0000008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ko2khl7m0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Observación del sistema</w:t>
      </w:r>
    </w:p>
    <w:p w:rsidR="00000000" w:rsidDel="00000000" w:rsidP="00000000" w:rsidRDefault="00000000" w:rsidRPr="00000000" ns1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marca un punto crítico:</w:t>
      </w:r>
    </w:p>
    <w:p w:rsidR="00000000" w:rsidDel="00000000" w:rsidP="00000000" w:rsidRDefault="00000000" w:rsidRPr="00000000" ns1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proyecto deja de ser una colección de decisiones y pasa a ser un sistema gobernado.</w:t>
      </w:r>
    </w:p>
    <w:p w:rsidR="00000000" w:rsidDel="00000000" w:rsidP="00000000" w:rsidRDefault="00000000" w:rsidRPr="00000000" ns1:paraId="0000008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24y8shlne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Estado actual del sistema</w:t>
      </w:r>
    </w:p>
    <w:p w:rsidR="00000000" w:rsidDel="00000000" w:rsidP="00000000" w:rsidRDefault="00000000" w:rsidRPr="00000000" ns1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g1x37lv0f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Listo para transición a implementación controlada</w:t>
      </w:r>
    </w:p>
    <w:p w:rsidR="00000000" w:rsidDel="00000000" w:rsidP="00000000" w:rsidRDefault="00000000" w:rsidRPr="00000000" ns1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Siguientes pasos:</w:t>
      </w:r>
    </w:p>
    <w:p w:rsidR="00000000" w:rsidDel="00000000" w:rsidP="00000000" w:rsidRDefault="00000000" w:rsidRPr="00000000" ns1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DOC-014 (Estándares de Desarrollo de Software)</w:t>
      </w:r>
    </w:p>
    <w:p w:rsidR="00000000" w:rsidDel="00000000" w:rsidP="00000000" w:rsidRDefault="00000000" w:rsidRPr="00000000" ns1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estándares al código existente y futuro</w:t>
      </w:r>
    </w:p>
    <w:p w:rsidR="00000000" w:rsidDel="00000000" w:rsidP="00000000" w:rsidRDefault="00000000" w:rsidRPr="00000000" ns1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Reanudación del desarrollo del MVP</w:t>
      </w:r>
    </w:p>
    <w:p w:rsidR="00000000" w:rsidDel="00000000" w:rsidP="00000000" w:rsidRDefault="00000000" w:rsidRPr="00000000" ns1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progresiva del sistema</w:t>
      </w:r>
    </w:p>
    <w:p w:rsidR="00000000" w:rsidDel="00000000" w:rsidP="00000000" w:rsidRDefault="00000000" w:rsidRPr="00000000" ns1:paraId="00000091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 xml:space="preserve">14. Navegación arquitectónica de la cadena operacional</w:t>
      </w:r>
    </w:p>
    <w:p>
      <w:r>
        <w:t xml:space="preserve">La agrupación Área / Cadena Operacional es una categoría de navegación arquitectónica. No constituye una Capability, no posee contratos públicos y no modifica el ownership ni las fronteras de las Capabilities que relaciona. Continuidad de flujo no equivale a ownership contractual.</w:t>
      </w:r>
    </w:p>
    <w:p>
      <w:pPr>
        <w:pStyle w:val="Heading2"/>
      </w:pPr>
      <w:r>
        <w:t xml:space="preserve">14.1 Capabilities vigentes relacionadas</w:t>
      </w:r>
    </w:p>
    <w:p>
      <w:r>
        <w:t xml:space="preserve">Área / Cadena Operacional</w:t>
      </w:r>
    </w:p>
    <w:p>
      <w:r>
        <w:t xml:space="preserve">DOC-034 — Execution</w:t>
      </w:r>
    </w:p>
    <w:p>
      <w:r>
        <w:t xml:space="preserve">DOC-035 — Operational Request</w:t>
      </w:r>
    </w:p>
    <w:p>
      <w:r>
        <w:t xml:space="preserve">DOC-036 — Operational Submission</w:t>
      </w:r>
    </w:p>
    <w:p>
      <w:r>
        <w:t xml:space="preserve">DOC-037 — Operational Admission</w:t>
      </w:r>
    </w:p>
    <w:p>
      <w:r>
        <w:t xml:space="preserve">DOC-038 — Operational Materialization</w:t>
      </w:r>
    </w:p>
    <w:p>
      <w:r>
        <w:t xml:space="preserve">Cada una de estas Capabilities conserva su responsabilidad, activo público, productor, consumidor, invariantes, frontera, ownership, incrementos técnicos e implementación.</w:t>
      </w:r>
    </w:p>
    <w:p>
      <w:pPr>
        <w:pStyle w:val="Heading2"/>
      </w:pPr>
      <w:r>
        <w:t xml:space="preserve">14.2 Topología contractual</w:t>
      </w:r>
    </w:p>
    <w:p>
      <w:r>
        <w:t xml:space="preserve">PortfolioTransition</w:t>
      </w:r>
    </w:p>
    <w:p>
      <w:r>
        <w:t xml:space="preserve">↓ DOC-034 — Execution</w:t>
      </w:r>
    </w:p>
    <w:p>
      <w:r>
        <w:t xml:space="preserve">OperationalIntent</w:t>
      </w:r>
    </w:p>
    <w:p>
      <w:r>
        <w:t xml:space="preserve">↓ DOC-035 — Operational Request</w:t>
      </w:r>
    </w:p>
    <w:p>
      <w:r>
        <w:t xml:space="preserve">OperationalRequest</w:t>
      </w:r>
    </w:p>
    <w:p>
      <w:r>
        <w:t xml:space="preserve">↓ DOC-036 — Operational Submission</w:t>
      </w:r>
    </w:p>
    <w:p>
      <w:r>
        <w:t xml:space="preserve">OperationalSubmission</w:t>
      </w:r>
    </w:p>
    <w:p>
      <w:r>
        <w:t xml:space="preserve">↓ DOC-037 — Operational Admission</w:t>
      </w:r>
    </w:p>
    <w:p>
      <w:r>
        <w:t xml:space="preserve">OperationalAdmission</w:t>
      </w:r>
    </w:p>
    <w:p>
      <w:r>
        <w:t xml:space="preserve">↓ DOC-038 — Operational Materialization</w:t>
      </w:r>
    </w:p>
    <w:p>
      <w:r>
        <w:t xml:space="preserve">OperationalMaterialization</w:t>
      </w:r>
    </w:p>
    <w:p>
      <w:r>
        <w:t xml:space="preserve">Esta topología representa la continuidad productor → activo → consumidor. No presenta ninguna Capability como componente interno o propiedad contractual de otra.</w:t>
      </w:r>
    </w:p>
    <w:p>
      <w:pPr>
        <w:pStyle w:val="Heading1"/>
      </w:pPr>
      <w:r>
        <w:t xml:space="preserve">15. Navegación arquitectónica del ciclo Portfolio y estado económico</w:t>
      </w:r>
    </w:p>
    <w:p>
      <w:r>
        <w:t xml:space="preserve">La agrupación Ciclo Portfolio / Estado Económico es una categoría de navegación arquitectónica. No constituye una Capability, no posee contratos públicos y no modifica el ownership ni las fronteras de las Capabilities relacionadas. Compartir PortfolioState o participar en el mismo ciclo no implica containment ni ownership común.</w:t>
      </w:r>
    </w:p>
    <w:p>
      <w:pPr>
        <w:pStyle w:val="Heading2"/>
      </w:pPr>
      <w:r>
        <w:t xml:space="preserve">15.1 Capabilities vigentes relacionadas</w:t>
      </w:r>
    </w:p>
    <w:p>
      <w:r>
        <w:t xml:space="preserve">DOC-032 — Portfolio</w:t>
      </w:r>
    </w:p>
    <w:p>
      <w:r>
        <w:t xml:space="preserve">DOC-033 — Portfolio Transition</w:t>
      </w:r>
    </w:p>
    <w:p>
      <w:r>
        <w:t xml:space="preserve">DOC-040 — Post-Materialization Economic Consequence</w:t>
      </w:r>
    </w:p>
    <w:p>
      <w:r>
        <w:t xml:space="preserve">Portfolio determina el estado objetivo. Portfolio Transition publica la transformación pretendida entre el estado actual y el objetivo. Post-Materialization Economic Consequence publica la relación económica realizada entre un estado previo, hechos materiales reconocidos y el estado posterior resultante. Las tres conservan ownership independiente.</w:t>
      </w:r>
    </w:p>
    <w:p>
      <w:pPr>
        <w:pStyle w:val="Heading2"/>
      </w:pPr>
      <w:r>
        <w:t xml:space="preserve">15.2 Topología contractual del ciclo</w:t>
      </w:r>
    </w:p>
    <w:p>
      <w:r>
        <w:t xml:space="preserve">RiskEvaluationResult + Current PortfolioState</w:t>
      </w:r>
    </w:p>
    <w:p>
      <w:r>
        <w:t xml:space="preserve">↓ DOC-032 — Portfolio</w:t>
      </w:r>
    </w:p>
    <w:p>
      <w:r>
        <w:t xml:space="preserve">Target PortfolioState</w:t>
      </w:r>
    </w:p>
    <w:p>
      <w:r>
        <w:t xml:space="preserve">Current PortfolioState + Target PortfolioState</w:t>
      </w:r>
    </w:p>
    <w:p>
      <w:r>
        <w:t xml:space="preserve">↓ DOC-033 — Portfolio Transition</w:t>
      </w:r>
    </w:p>
    <w:p>
      <w:r>
        <w:t xml:space="preserve">PortfolioTransition</w:t>
      </w:r>
    </w:p>
    <w:p>
      <w:r>
        <w:t xml:space="preserve">↓ DOC-034 — Execution</w:t>
      </w:r>
    </w:p>
    <w:p>
      <w:r>
        <w:t xml:space="preserve">OperationalIntent → cadena operacional documentada en la sección 14</w:t>
      </w:r>
    </w:p>
    <w:p>
      <w:r>
        <w:t xml:space="preserve">↓ DOC-038 — Operational Materialization</w:t>
      </w:r>
    </w:p>
    <w:p>
      <w:r>
        <w:t xml:space="preserve">1..N OperationalMaterialization + Previous PortfolioState</w:t>
      </w:r>
    </w:p>
    <w:p>
      <w:r>
        <w:t xml:space="preserve">↓ DOC-040 — Post-Materialization Economic Consequence</w:t>
      </w:r>
    </w:p>
    <w:p>
      <w:r>
        <w:t xml:space="preserve">PostMaterializationEconomicConsequence</w:t>
      </w:r>
    </w:p>
    <w:p>
      <w:r>
        <w:t xml:space="preserve">↓ contiene y preserva la procedencia del resultado</w:t>
      </w:r>
    </w:p>
    <w:p>
      <w:r>
        <w:t xml:space="preserve">Resulting PortfolioState</w:t>
      </w:r>
    </w:p>
    <w:p>
      <w:r>
        <w:t xml:space="preserve">↓ puede desempeñar posteriormente el rol de Current PortfolioState</w:t>
      </w:r>
    </w:p>
    <w:p>
      <w:r>
        <w:t xml:space="preserve">DOC-034 y DOC-038 aparecen aquí únicamente como fronteras de continuidad con la cadena operacional de la sección 14. Esta topología no reasigna sus ownership ni clasifica DOC-039 o documentos posteriores.</w:t>
      </w:r>
    </w:p>
    <w:p>
      <w:pPr>
        <w:pStyle w:val="Heading1"/>
      </w:pPr>
      <w:r>
        <w:t>16. Disposición de DOC-039 — Operational Materialization Interpretation</w:t>
      </w:r>
    </w:p>
    <w:p>
      <w:pPr/>
      <w:r>
        <w:t>DOC-039 y su incremento IT-039-001 quedan en estado Deprecated y se mantienen por trazabilidad conforme a la sección 7. El contrato implementado permanece como evidencia técnica válida, pero DOC-039 queda fuera de los mapas y rutas arquitectónicas canónicas vigentes porque no existe un consumidor real demostrado que requiera OperationalMaterializationInterpretation.</w:t>
      </w:r>
    </w:p>
    <w:p>
      <w:pPr/>
      <w:r>
        <w:t>La cadena operacional canónica termina en DOC-038 — Operational Materialization. El ciclo Portfolio / Estado Económico continúa desde uno o más OperationalMaterialization directamente hacia DOC-040 — Post-Materialization Economic Consequence. No deberá inferirse la secuencia DOC-038 → DOC-039 → DOC-040.</w:t>
      </w:r>
    </w:p>
    <w:p>
      <w:pPr/>
      <w:r>
        <w:t>Esta disposición no elimina ni modifica runtime, API pública, pruebas, demo o historia de DOC-039. Tampoco autoriza su extensión. Una necesidad futura deberá ser demostrada nuevamente mediante el proceso arquitectónico vigente antes de reactivar el documento o incorporar su contrato a una ruta canónica.</w:t>
      </w:r>
    </w:p>
    <w:p>
      <w:pPr>
        <w:pStyle w:val="Heading1"/>
      </w:pPr>
      <w:r>
        <w:t>17. Navegación arquitectónica del área Economic Reality</w:t>
      </w:r>
    </w:p>
    <w:p>
      <w:pPr/>
      <w:r>
        <w:t>Economic Reality es un área/cadena de navegación arquitectónica. No constituye una Capability, no posee contratos públicos y no transfiere ownership entre las Capabilities relacionadas.</w:t>
      </w:r>
    </w:p>
    <w:p>
      <w:pPr/>
      <w:r>
        <w:t>Capabilities vigentes relacionadas: DOC-041 — External Economic Observation; DOC-042 — Internal Economic Reality Qualification; DOC-043 — Economic Reality Verification; DOC-044 — Post-Verification Qualification. Cada una conserva responsabilidad, autoridad, contratos, invariantes y fronteras independientes.</w:t>
      </w:r>
    </w:p>
    <w:p>
      <w:pPr/>
      <w:r>
        <w:t>La topología contractual canónica es: evidencia económica externa independiente → DOC-041 → ExternallyObservedEconomicReality; PortfolioState más evidencia temporal interna → DOC-042 → InternalEconomicReality; InternalEconomicReality + ExternallyObservedEconomicReality → DOC-043 → EconomicRealityVerification; EconomicRealityVerification + RequiredCorroborationScope → DOC-044 → PostVerificationQualification.</w:t>
      </w:r>
    </w:p>
    <w:p>
      <w:pPr/>
      <w:r>
        <w:t>DOC-045 — Economic Reality Reliance Disposition y su incremento IT-045-001 quedan Deprecated y fuera de la continuidad canónica vigente. Su contrato implementado se preserva como evidencia técnica e histórica, pero no existe un consumidor productivo o contractual downstream demostrado para EconomicRealityRelianceDisposition. No deberá inferirse que DOC-044 → DOC-045 sea un paso obligatorio del flujo vigente.</w:t>
      </w:r>
    </w:p>
    <w:p>
      <w:pPr/>
      <w:r>
        <w:t>La continuidad descrita expresa relaciones productor → activo → consumidor. No implica containment, ownership común ni autorización para Portfolio Target Determination u otra responsabilidad posterior.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