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urn:schemas-microsoft-com:vml" xmlns:ns3="urn:schemas-microsoft-com:office:office" xmlns:w="http://schemas.openxmlformats.org/wordprocessingml/2006/main">
  <w:body>
    <w:p w:rsidR="00000000" w:rsidDel="00000000" w:rsidP="00000000" w:rsidRDefault="00000000" w:rsidRPr="00000000" ns1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9plozay1icj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DOC-000 — Índice Maestro de Arquitectura y Gobierno Documental</w:t>
      </w:r>
    </w:p>
    <w:p w:rsidR="00000000" w:rsidDel="00000000" w:rsidP="00000000" w:rsidRDefault="00000000" w:rsidRPr="00000000" ns1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szkngm3y5gm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TramitaGO Quant Platform</w:t>
      </w:r>
    </w:p>
    <w:p w:rsidR="00000000" w:rsidDel="00000000" w:rsidP="00000000" w:rsidRDefault="00000000" w:rsidRPr="00000000" ns1:paraId="00000003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yh92q2hx3jm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 del documento</w:t>
      </w:r>
    </w:p>
    <w:p w:rsidR="00000000" w:rsidDel="00000000" w:rsidP="00000000" w:rsidRDefault="00000000" w:rsidRPr="00000000" ns1:paraId="0000000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DOC-000</w:t>
      </w:r>
    </w:p>
    <w:p w:rsidR="00000000" w:rsidDel="00000000" w:rsidP="00000000" w:rsidRDefault="00000000" w:rsidRPr="00000000" ns1:paraId="0000000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Índice Maestro de Arquitectura y Gobierno Documental</w:t>
      </w:r>
    </w:p>
    <w:p w:rsidR="00000000" w:rsidDel="00000000" w:rsidP="00000000" w:rsidRDefault="00000000" w:rsidRPr="00000000" ns1:paraId="0000000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ns1:paraId="0000000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 (Baseline 1.0 candidate)</w:t>
      </w:r>
    </w:p>
    <w:p w:rsidR="00000000" w:rsidDel="00000000" w:rsidP="00000000" w:rsidRDefault="00000000" w:rsidRPr="00000000" ns1:paraId="0000000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Documento de Gobierno del Sistema</w:t>
      </w:r>
    </w:p>
    <w:p w:rsidR="00000000" w:rsidDel="00000000" w:rsidP="00000000" w:rsidRDefault="00000000" w:rsidRPr="00000000" ns1:paraId="0000000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Dependencias:</w:t>
      </w:r>
      <w:r w:rsidDel="00000000" w:rsidR="00000000" w:rsidRPr="00000000">
        <w:rPr>
          <w:rtl w:val="0"/>
        </w:rPr>
        <w:t xml:space="preserve"> Todos los DOC y ADR existentes</w:t>
      </w:r>
    </w:p>
    <w:p w:rsidR="00000000" w:rsidDel="00000000" w:rsidP="00000000" w:rsidRDefault="00000000" w:rsidRPr="00000000" ns1:paraId="0000000B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8rzi8y9iqe4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ns1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define la </w:t>
      </w:r>
      <w:r w:rsidDel="00000000" w:rsidR="00000000" w:rsidRPr="00000000">
        <w:rPr>
          <w:b w:val="1"/>
          <w:bCs w:val="1"/>
          <w:rtl w:val="0"/>
        </w:rPr>
        <w:t xml:space="preserve">estructura oficial, trazabilidad y reglas de gobierno de toda la documentación del sistema TramitaGO Quant Platform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ns1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función no es técnica.</w:t>
      </w:r>
    </w:p>
    <w:p w:rsidR="00000000" w:rsidDel="00000000" w:rsidP="00000000" w:rsidRDefault="00000000" w:rsidRPr="00000000" ns1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función es:</w:t>
      </w:r>
    </w:p>
    <w:p w:rsidR="00000000" w:rsidDel="00000000" w:rsidP="00000000" w:rsidRDefault="00000000" w:rsidRPr="00000000" ns1:paraId="0000001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Convertir un conjunto de documentos en un sistema documental gobernado, reproducible y auditable.</w:t>
      </w:r>
    </w:p>
    <w:p w:rsidR="00000000" w:rsidDel="00000000" w:rsidP="00000000" w:rsidRDefault="00000000" w:rsidRPr="00000000" ns1:paraId="00000011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6ygn74vcpcx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Estado del sistema</w:t>
      </w:r>
    </w:p>
    <w:p w:rsidR="00000000" w:rsidDel="00000000" w:rsidP="00000000" w:rsidRDefault="00000000" w:rsidRPr="00000000" ns1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se encuentra en:</w:t>
      </w:r>
    </w:p>
    <w:p w:rsidR="00000000" w:rsidDel="00000000" w:rsidP="00000000" w:rsidRDefault="00000000" w:rsidRPr="00000000" ns1:paraId="0000001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Fase de transición entre diseño arquitectónico y construcción del MVP</w:t>
      </w:r>
    </w:p>
    <w:p w:rsidR="00000000" w:rsidDel="00000000" w:rsidP="00000000" w:rsidRDefault="00000000" w:rsidRPr="00000000" ns1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implica:</w:t>
      </w:r>
    </w:p>
    <w:p w:rsidR="00000000" w:rsidDel="00000000" w:rsidP="00000000" w:rsidRDefault="00000000" w:rsidRPr="00000000" ns1:paraId="0000001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arquitectura está definida en alto nivel.</w:t>
      </w:r>
    </w:p>
    <w:p w:rsidR="00000000" w:rsidDel="00000000" w:rsidP="00000000" w:rsidRDefault="00000000" w:rsidRPr="00000000" ns1:paraId="0000001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primeros módulos técnicos han sido diseñados.</w:t>
      </w:r>
    </w:p>
    <w:p w:rsidR="00000000" w:rsidDel="00000000" w:rsidP="00000000" w:rsidRDefault="00000000" w:rsidRPr="00000000" ns1:paraId="0000001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Aún no existe producción ni ejecución real de trading.</w:t>
      </w:r>
    </w:p>
    <w:p w:rsidR="00000000" w:rsidDel="00000000" w:rsidP="00000000" w:rsidRDefault="00000000" w:rsidRPr="00000000" ns1:paraId="00000019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mvwtur83n0i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Baseline vigente</w:t>
      </w:r>
    </w:p>
    <w:p w:rsidR="00000000" w:rsidDel="00000000" w:rsidP="00000000" w:rsidRDefault="00000000" w:rsidRPr="00000000" ns1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c7x8s8md5zz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Baseline 0.x (Pre-implementación controlada)</w:t>
      </w:r>
    </w:p>
    <w:p w:rsidR="00000000" w:rsidDel="00000000" w:rsidP="00000000" w:rsidRDefault="00000000" w:rsidRPr="00000000" ns1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Incluye:</w:t>
      </w:r>
    </w:p>
    <w:p w:rsidR="00000000" w:rsidDel="00000000" w:rsidP="00000000" w:rsidRDefault="00000000" w:rsidRPr="00000000" ns1:paraId="0000001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DOC-001 a DOC-015 (reestructurados)</w:t>
      </w:r>
    </w:p>
    <w:p w:rsidR="00000000" w:rsidDel="00000000" w:rsidP="00000000" w:rsidRDefault="00000000" w:rsidRPr="00000000" ns1:paraId="0000001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ADR-001 a ADR-006</w:t>
      </w:r>
    </w:p>
    <w:p w:rsidR="00000000" w:rsidDel="00000000" w:rsidP="00000000" w:rsidRDefault="00000000" w:rsidRPr="00000000" ns1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Características:</w:t>
      </w:r>
    </w:p>
    <w:p w:rsidR="00000000" w:rsidDel="00000000" w:rsidP="00000000" w:rsidRDefault="00000000" w:rsidRPr="00000000" ns1:paraId="0000002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arquitectura conceptual estabilizada</w:t>
      </w:r>
    </w:p>
    <w:p w:rsidR="00000000" w:rsidDel="00000000" w:rsidP="00000000" w:rsidRDefault="00000000" w:rsidRPr="00000000" ns1:paraId="0000002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decisiones técnicas iniciales definidas</w:t>
      </w:r>
    </w:p>
    <w:p w:rsidR="00000000" w:rsidDel="00000000" w:rsidP="00000000" w:rsidRDefault="00000000" w:rsidRPr="00000000" ns1:paraId="0000002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inicio de implementación MVP en curso</w:t>
      </w:r>
    </w:p>
    <w:p w:rsidR="00000000" w:rsidDel="00000000" w:rsidP="00000000" w:rsidRDefault="00000000" w:rsidRPr="00000000" ns1:paraId="00000023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0512bdobi5l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Estructura oficial del sistema documental</w:t>
      </w:r>
    </w:p>
    <w:p w:rsidR="00000000" w:rsidDel="00000000" w:rsidP="00000000" w:rsidRDefault="00000000" w:rsidRPr="00000000" ns1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yogbtxpj2df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Tipos de artefactos</w:t>
      </w:r>
    </w:p>
    <w:p w:rsidR="00000000" w:rsidDel="00000000" w:rsidP="00000000" w:rsidRDefault="00000000" w:rsidRPr="00000000" ns1:paraId="0000002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El sistema está compuesto por:</w:t>
      </w:r>
    </w:p>
    <w:p w:rsidR="00000000" w:rsidDel="00000000" w:rsidP="00000000" w:rsidRDefault="00000000" w:rsidRPr="00000000" ns1:paraId="0000002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DOC: documentos de gobierno, arquitectura y diseño;</w:t>
      </w:r>
    </w:p>
    <w:p w:rsidR="00000000" w:rsidDel="00000000" w:rsidP="00000000" w:rsidRDefault="00000000" w:rsidRPr="00000000" ns1:paraId="0000002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ADR: decisiones arquitectónicas formales;</w:t>
      </w:r>
    </w:p>
    <w:p w:rsidR="00000000" w:rsidDel="00000000" w:rsidP="00000000" w:rsidRDefault="00000000" w:rsidRPr="00000000" ns1:paraId="0000002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IT: especificaciones técnicas incrementales;</w:t>
      </w:r>
    </w:p>
    <w:p w:rsidR="00000000" w:rsidDel="00000000" w:rsidP="00000000" w:rsidRDefault="00000000" w:rsidRPr="00000000" ns1:paraId="0000002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 fuente;</w:t>
      </w:r>
    </w:p>
    <w:p w:rsidR="00000000" w:rsidDel="00000000" w:rsidP="00000000" w:rsidRDefault="00000000" w:rsidRPr="00000000" ns1:paraId="0000002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configuración;</w:t>
      </w:r>
    </w:p>
    <w:p w:rsidR="00000000" w:rsidDel="00000000" w:rsidP="00000000" w:rsidRDefault="00000000" w:rsidRPr="00000000" ns1:paraId="0000002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pruebas;</w:t>
      </w:r>
    </w:p>
    <w:p w:rsidR="00000000" w:rsidDel="00000000" w:rsidP="00000000" w:rsidRDefault="00000000" w:rsidRPr="00000000" ns1:paraId="0000002E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datos de experimentación.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F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qo01yw0bwag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Jerarquía de gobernanza</w:t>
      </w:r>
    </w:p>
    <w:p w:rsidR="00000000" w:rsidDel="00000000" w:rsidP="00000000" w:rsidRDefault="00000000" w:rsidRPr="00000000" ns1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1 → DOC-000 (Gobierno del sistema)</w:t>
      </w:r>
    </w:p>
    <w:p w:rsidR="00000000" w:rsidDel="00000000" w:rsidP="00000000" w:rsidRDefault="00000000" w:rsidRPr="00000000" ns1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2 → DOC (Arquitectura y diseño)</w:t>
      </w:r>
    </w:p>
    <w:p w:rsidR="00000000" w:rsidDel="00000000" w:rsidP="00000000" w:rsidRDefault="00000000" w:rsidRPr="00000000" ns1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3 → ADR (Decisiones técnicas)</w:t>
      </w:r>
    </w:p>
    <w:p w:rsidR="00000000" w:rsidDel="00000000" w:rsidP="00000000" w:rsidRDefault="00000000" w:rsidRPr="00000000" ns1:paraId="000000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4 → Implementación (Python MVP)</w:t>
      </w:r>
    </w:p>
    <w:p w:rsidR="00000000" w:rsidDel="00000000" w:rsidP="00000000" w:rsidRDefault="00000000" w:rsidRPr="00000000" ns1:paraId="000000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5 → Evolución y optimización</w:t>
      </w:r>
    </w:p>
    <w:p w:rsidR="00000000" w:rsidDel="00000000" w:rsidP="00000000" w:rsidRDefault="00000000" w:rsidRPr="00000000" ns1:paraId="00000036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veotql6bfx1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Convenciones de identificación</w:t>
      </w:r>
    </w:p>
    <w:p w:rsidR="00000000" w:rsidDel="00000000" w:rsidP="00000000" w:rsidRDefault="00000000" w:rsidRPr="00000000" ns1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9356dpg0ym4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Documentos</w:t>
      </w:r>
    </w:p>
    <w:p w:rsidR="00000000" w:rsidDel="00000000" w:rsidP="00000000" w:rsidRDefault="00000000" w:rsidRPr="00000000" ns1:paraId="00000039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Prefijo: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DOC-</w:t>
      </w:r>
    </w:p>
    <w:p w:rsidR="00000000" w:rsidDel="00000000" w:rsidP="00000000" w:rsidRDefault="00000000" w:rsidRPr="00000000" ns1:paraId="0000003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DOC-XXX</w:t>
      </w:r>
    </w:p>
    <w:p w:rsidR="00000000" w:rsidDel="00000000" w:rsidP="00000000" w:rsidRDefault="00000000" w:rsidRPr="00000000" ns1:paraId="0000003B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Regla: </w:t>
      </w:r>
      <w:r w:rsidDel="00000000" w:rsidR="00000000" w:rsidRPr="00000000">
        <w:rPr>
          <w:b w:val="1"/>
          <w:bCs w:val="1"/>
          <w:rtl w:val="0"/>
        </w:rPr>
        <w:t xml:space="preserve">inmutable una vez asignado</w:t>
      </w:r>
    </w:p>
    <w:p w:rsidR="00000000" w:rsidDel="00000000" w:rsidP="00000000" w:rsidRDefault="00000000" w:rsidRPr="00000000" ns1:paraId="0000003C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9px31v77oi3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ADR</w:t>
      </w:r>
    </w:p>
    <w:p w:rsidR="00000000" w:rsidDel="00000000" w:rsidP="00000000" w:rsidRDefault="00000000" w:rsidRPr="00000000" ns1:paraId="0000003E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Prefijo: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ADR-</w:t>
      </w:r>
    </w:p>
    <w:p w:rsidR="00000000" w:rsidDel="00000000" w:rsidP="00000000" w:rsidRDefault="00000000" w:rsidRPr="00000000" ns1:paraId="0000003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ADR-XXX</w:t>
      </w:r>
    </w:p>
    <w:p w:rsidR="00000000" w:rsidDel="00000000" w:rsidP="00000000" w:rsidRDefault="00000000" w:rsidRPr="00000000" ns1:paraId="00000040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Regla: decisiones independientes de implementación</w:t>
      </w:r>
    </w:p>
    <w:p w:rsidR="00000000" w:rsidDel="00000000" w:rsidP="00000000" w:rsidRDefault="00000000" w:rsidRPr="00000000" ns1:paraId="00000041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2">
      <w:pPr>
        <w:pStyle w:val="Heading2"/>
        <w:spacing w:after="240" w:before="240" w:lineRule="auto"/>
        <w:rPr/>
      </w:pPr>
      <w:bookmarkStart w:colFirst="0" w:colLast="0" w:name="_hehb4slzaxb0" w:id="13"/>
      <w:bookmarkEnd w:id="13"/>
      <w:r w:rsidDel="00000000" w:rsidR="00000000" w:rsidRPr="00000000">
        <w:rPr>
          <w:rtl w:val="0"/>
        </w:rPr>
        <w:t xml:space="preserve">6.3 Especificaciones técnicas</w:t>
      </w:r>
    </w:p>
    <w:p w:rsidR="00000000" w:rsidDel="00000000" w:rsidP="00000000" w:rsidRDefault="00000000" w:rsidRPr="00000000" ns1:paraId="0000004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Prefijo ordinario:</w:t>
      </w:r>
    </w:p>
    <w:p w:rsidR="00000000" w:rsidDel="00000000" w:rsidP="00000000" w:rsidRDefault="00000000" w:rsidRPr="00000000" ns1:paraId="00000044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IT-XXX-YYY</w:t>
      </w:r>
    </w:p>
    <w:p w:rsidR="00000000" w:rsidDel="00000000" w:rsidP="00000000" w:rsidRDefault="00000000" w:rsidRPr="00000000" ns1:paraId="0000004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Donde:</w:t>
      </w:r>
    </w:p>
    <w:p w:rsidR="00000000" w:rsidDel="00000000" w:rsidP="00000000" w:rsidRDefault="00000000" w:rsidRPr="00000000" ns1:paraId="0000004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XXX identifica la Capability propietaria;</w:t>
      </w:r>
    </w:p>
    <w:p w:rsidR="00000000" w:rsidDel="00000000" w:rsidP="00000000" w:rsidRDefault="00000000" w:rsidRPr="00000000" ns1:paraId="0000004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YYY identifica el incremento secuencial dentro de dicha Capability.</w:t>
      </w:r>
    </w:p>
    <w:p w:rsidR="00000000" w:rsidDel="00000000" w:rsidP="00000000" w:rsidRDefault="00000000" w:rsidRPr="00000000" ns1:paraId="0000004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Formato transversal excepcional:</w:t>
      </w:r>
    </w:p>
    <w:p w:rsidR="00000000" w:rsidDel="00000000" w:rsidP="00000000" w:rsidRDefault="00000000" w:rsidRPr="00000000" ns1:paraId="0000004A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IT-REF-YYY</w:t>
      </w:r>
    </w:p>
    <w:p w:rsidR="00000000" w:rsidDel="00000000" w:rsidP="00000000" w:rsidRDefault="00000000" w:rsidRPr="00000000" ns1:paraId="0000004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El formato IT-REF-YYY se reserva exclusivamente para incrementos técnicos de contratos de referencia transversales autorizados previamente mediante ADR.</w:t>
      </w:r>
    </w:p>
    <w:p w:rsidR="00000000" w:rsidDel="00000000" w:rsidP="00000000" w:rsidRDefault="00000000" w:rsidRPr="00000000" ns1:paraId="0000004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Su existencia no crea una Capability REF ni establece una autorización general para nuevos dominios compartidos.</w:t>
      </w:r>
    </w:p>
    <w:p w:rsidR="00000000" w:rsidDel="00000000" w:rsidP="00000000" w:rsidRDefault="00000000" w:rsidRPr="00000000" ns1:paraId="0000004E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Primer identificador autorizado:</w:t>
      </w:r>
    </w:p>
    <w:p w:rsidR="00000000" w:rsidDel="00000000" w:rsidP="00000000" w:rsidRDefault="00000000" w:rsidRPr="00000000" ns1:paraId="0000004F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IT-REF-001 — Reference Identity Domain Contracts MVP.</w:t>
      </w:r>
    </w:p>
    <w:p w:rsidR="00000000" w:rsidDel="00000000" w:rsidP="00000000" w:rsidRDefault="00000000" w:rsidRPr="00000000" ns1:paraId="00000050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wm5zulco4zf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Ciclo de vida de documentos</w:t>
      </w:r>
    </w:p>
    <w:p w:rsidR="00000000" w:rsidDel="00000000" w:rsidP="00000000" w:rsidRDefault="00000000" w:rsidRPr="00000000" ns1:paraId="000000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j79al7by0ts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Estados permitidos</w:t>
      </w:r>
    </w:p>
    <w:p w:rsidR="00000000" w:rsidDel="00000000" w:rsidP="00000000" w:rsidRDefault="00000000" w:rsidRPr="00000000" ns1:paraId="0000005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Draft</w:t>
      </w:r>
    </w:p>
    <w:p w:rsidR="00000000" w:rsidDel="00000000" w:rsidP="00000000" w:rsidRDefault="00000000" w:rsidRPr="00000000" ns1:paraId="0000005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Review</w:t>
      </w:r>
    </w:p>
    <w:p w:rsidR="00000000" w:rsidDel="00000000" w:rsidP="00000000" w:rsidRDefault="00000000" w:rsidRPr="00000000" ns1:paraId="0000005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Approved</w:t>
      </w:r>
    </w:p>
    <w:p w:rsidR="00000000" w:rsidDel="00000000" w:rsidP="00000000" w:rsidRDefault="00000000" w:rsidRPr="00000000" ns1:paraId="0000005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Deprecated</w:t>
      </w:r>
    </w:p>
    <w:p w:rsidR="00000000" w:rsidDel="00000000" w:rsidP="00000000" w:rsidRDefault="00000000" w:rsidRPr="00000000" ns1:paraId="0000005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Archived</w:t>
      </w:r>
    </w:p>
    <w:p w:rsidR="00000000" w:rsidDel="00000000" w:rsidP="00000000" w:rsidRDefault="00000000" w:rsidRPr="00000000" ns1:paraId="00000058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lmw7kvlxmrc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Reglas</w:t>
      </w:r>
    </w:p>
    <w:p w:rsidR="00000000" w:rsidDel="00000000" w:rsidP="00000000" w:rsidRDefault="00000000" w:rsidRPr="00000000" ns1:paraId="0000005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Solo documentos Approved pueden guiar implementación</w:t>
      </w:r>
    </w:p>
    <w:p w:rsidR="00000000" w:rsidDel="00000000" w:rsidP="00000000" w:rsidRDefault="00000000" w:rsidRPr="00000000" ns1:paraId="0000005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Draft puede cambiar libremente</w:t>
      </w:r>
    </w:p>
    <w:p w:rsidR="00000000" w:rsidDel="00000000" w:rsidP="00000000" w:rsidRDefault="00000000" w:rsidRPr="00000000" ns1:paraId="0000005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Deprecated debe mantenerse por trazabilidad</w:t>
      </w:r>
    </w:p>
    <w:p w:rsidR="00000000" w:rsidDel="00000000" w:rsidP="00000000" w:rsidRDefault="00000000" w:rsidRPr="00000000" ns1:paraId="0000005D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6x7hrnu4wo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Registro de decisiones pendientes (estratégicas)</w:t>
      </w:r>
    </w:p>
    <w:p w:rsidR="00000000" w:rsidDel="00000000" w:rsidP="00000000" w:rsidRDefault="00000000" w:rsidRPr="00000000" ns1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reconocen como válidas pero no activas:</w:t>
      </w:r>
    </w:p>
    <w:p w:rsidR="00000000" w:rsidDel="00000000" w:rsidP="00000000" w:rsidRDefault="00000000" w:rsidRPr="00000000" ns1:paraId="0000006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migración a proveedor de datos profesional</w:t>
      </w:r>
    </w:p>
    <w:p w:rsidR="00000000" w:rsidDel="00000000" w:rsidP="00000000" w:rsidRDefault="00000000" w:rsidRPr="00000000" ns1:paraId="0000006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motor event-driven backtesting</w:t>
      </w:r>
    </w:p>
    <w:p w:rsidR="00000000" w:rsidDel="00000000" w:rsidP="00000000" w:rsidRDefault="00000000" w:rsidRPr="00000000" ns1:paraId="0000006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datos persistente</w:t>
      </w:r>
    </w:p>
    <w:p w:rsidR="00000000" w:rsidDel="00000000" w:rsidP="00000000" w:rsidRDefault="00000000" w:rsidRPr="00000000" ns1:paraId="0000006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cloud deployment</w:t>
      </w:r>
    </w:p>
    <w:p w:rsidR="00000000" w:rsidDel="00000000" w:rsidP="00000000" w:rsidRDefault="00000000" w:rsidRPr="00000000" ns1:paraId="0000006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IA para optimización de estrategias</w:t>
      </w:r>
    </w:p>
    <w:p w:rsidR="00000000" w:rsidDel="00000000" w:rsidP="00000000" w:rsidRDefault="00000000" w:rsidRPr="00000000" ns1:paraId="00000065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xxjsv2o2l1d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Reglas de consistencia documental</w:t>
      </w:r>
    </w:p>
    <w:p w:rsidR="00000000" w:rsidDel="00000000" w:rsidP="00000000" w:rsidRDefault="00000000" w:rsidRPr="00000000" ns1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crear o modificar cualquier documento:</w:t>
      </w:r>
    </w:p>
    <w:p w:rsidR="00000000" w:rsidDel="00000000" w:rsidP="00000000" w:rsidRDefault="00000000" w:rsidRPr="00000000" ns1:paraId="00000068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Verificar coherencia con DOC-000</w:t>
      </w:r>
    </w:p>
    <w:p w:rsidR="00000000" w:rsidDel="00000000" w:rsidP="00000000" w:rsidRDefault="00000000" w:rsidRPr="00000000" ns1:paraId="0000006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Verificar numeración existente</w:t>
      </w:r>
    </w:p>
    <w:p w:rsidR="00000000" w:rsidDel="00000000" w:rsidP="00000000" w:rsidRDefault="00000000" w:rsidRPr="00000000" ns1:paraId="0000006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Verificar dependencias</w:t>
      </w:r>
    </w:p>
    <w:p w:rsidR="00000000" w:rsidDel="00000000" w:rsidP="00000000" w:rsidRDefault="00000000" w:rsidRPr="00000000" ns1:paraId="0000006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Evitar duplicidad conceptual</w:t>
      </w:r>
    </w:p>
    <w:p w:rsidR="00000000" w:rsidDel="00000000" w:rsidP="00000000" w:rsidRDefault="00000000" w:rsidRPr="00000000" ns1:paraId="0000006C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posición en la secuencia lógica</w:t>
      </w:r>
    </w:p>
    <w:p w:rsidR="00000000" w:rsidDel="00000000" w:rsidP="00000000" w:rsidRDefault="00000000" w:rsidRPr="00000000" ns1:paraId="0000006D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qpu19liv0ed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Principios de gobierno</w:t>
      </w:r>
    </w:p>
    <w:p w:rsidR="00000000" w:rsidDel="00000000" w:rsidP="00000000" w:rsidRDefault="00000000" w:rsidRPr="00000000" ns1:paraId="000000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pdk9owbtoox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 Fuente única de verdad</w:t>
      </w:r>
    </w:p>
    <w:p w:rsidR="00000000" w:rsidDel="00000000" w:rsidP="00000000" w:rsidRDefault="00000000" w:rsidRPr="00000000" ns1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el conocimiento del sistema debe poder reconstruirse desde esta estructura.</w:t>
      </w:r>
    </w:p>
    <w:p w:rsidR="00000000" w:rsidDel="00000000" w:rsidP="00000000" w:rsidRDefault="00000000" w:rsidRPr="00000000" ns1:paraId="00000071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u2lvl3zk4vu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10.2 Evolución controlada</w:t>
      </w:r>
    </w:p>
    <w:p w:rsidR="00000000" w:rsidDel="00000000" w:rsidP="00000000" w:rsidRDefault="00000000" w:rsidRPr="00000000" ns1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evoluciona solo mediante:</w:t>
      </w:r>
    </w:p>
    <w:p w:rsidR="00000000" w:rsidDel="00000000" w:rsidP="00000000" w:rsidRDefault="00000000" w:rsidRPr="00000000" ns1:paraId="00000074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nuevos documentos</w:t>
      </w:r>
    </w:p>
    <w:p w:rsidR="00000000" w:rsidDel="00000000" w:rsidP="00000000" w:rsidRDefault="00000000" w:rsidRPr="00000000" ns1:paraId="0000007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nuevos ADR</w:t>
      </w:r>
    </w:p>
    <w:p w:rsidR="00000000" w:rsidDel="00000000" w:rsidP="00000000" w:rsidRDefault="00000000" w:rsidRPr="00000000" ns1:paraId="00000076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versiones explícitas</w:t>
      </w:r>
    </w:p>
    <w:p w:rsidR="00000000" w:rsidDel="00000000" w:rsidP="00000000" w:rsidRDefault="00000000" w:rsidRPr="00000000" ns1:paraId="00000077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hsev1d8u5qm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10.3 Trazabilidad total</w:t>
      </w:r>
    </w:p>
    <w:p w:rsidR="00000000" w:rsidDel="00000000" w:rsidP="00000000" w:rsidRDefault="00000000" w:rsidRPr="00000000" ns1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decisión debe poder explicarse retrospectivamente.</w:t>
      </w:r>
    </w:p>
    <w:p w:rsidR="00000000" w:rsidDel="00000000" w:rsidP="00000000" w:rsidRDefault="00000000" w:rsidRPr="00000000" ns1:paraId="0000007A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kwhfb0reqj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10.4 No pérdida de información</w:t>
      </w:r>
    </w:p>
    <w:p w:rsidR="00000000" w:rsidDel="00000000" w:rsidP="00000000" w:rsidRDefault="00000000" w:rsidRPr="00000000" ns1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Nada se elimina del sistema documental, solo cambia de estado.</w:t>
      </w:r>
    </w:p>
    <w:p w:rsidR="00000000" w:rsidDel="00000000" w:rsidP="00000000" w:rsidRDefault="00000000" w:rsidRPr="00000000" ns1:paraId="0000007D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9cfmj2xz9y2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Reorganización previa a Baseline 1.0</w:t>
      </w:r>
    </w:p>
    <w:p w:rsidR="00000000" w:rsidDel="00000000" w:rsidP="00000000" w:rsidRDefault="00000000" w:rsidRPr="00000000" ns1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establece formalmente que:</w:t>
      </w:r>
    </w:p>
    <w:p w:rsidR="00000000" w:rsidDel="00000000" w:rsidP="00000000" w:rsidRDefault="00000000" w:rsidRPr="00000000" ns1:paraId="0000008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DOC-014 → Estándares de Desarrollo de Software</w:t>
      </w:r>
    </w:p>
    <w:p w:rsidR="00000000" w:rsidDel="00000000" w:rsidP="00000000" w:rsidRDefault="00000000" w:rsidRPr="00000000" ns1:paraId="0000008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DOC-015 → Implementación del Data Loader (MVP v0.1)</w:t>
      </w:r>
    </w:p>
    <w:p w:rsidR="00000000" w:rsidDel="00000000" w:rsidP="00000000" w:rsidRDefault="00000000" w:rsidRPr="00000000" ns1:paraId="0000008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DOC-016 → Data Cleaner (planificado)</w:t>
      </w:r>
    </w:p>
    <w:p w:rsidR="00000000" w:rsidDel="00000000" w:rsidP="00000000" w:rsidRDefault="00000000" w:rsidRPr="00000000" ns1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reorganización se considera:</w:t>
      </w:r>
    </w:p>
    <w:p w:rsidR="00000000" w:rsidDel="00000000" w:rsidP="00000000" w:rsidRDefault="00000000" w:rsidRPr="00000000" ns1:paraId="0000008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corrección estructural previa al congelamiento de Baseline 1.0</w:t>
      </w:r>
    </w:p>
    <w:p w:rsidR="00000000" w:rsidDel="00000000" w:rsidP="00000000" w:rsidRDefault="00000000" w:rsidRPr="00000000" ns1:paraId="00000085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rko2khl7m0b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Observación del sistema</w:t>
      </w:r>
    </w:p>
    <w:p w:rsidR="00000000" w:rsidDel="00000000" w:rsidP="00000000" w:rsidRDefault="00000000" w:rsidRPr="00000000" ns1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marca un punto crítico:</w:t>
      </w:r>
    </w:p>
    <w:p w:rsidR="00000000" w:rsidDel="00000000" w:rsidP="00000000" w:rsidRDefault="00000000" w:rsidRPr="00000000" ns1:paraId="0000008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proyecto deja de ser una colección de decisiones y pasa a ser un sistema gobernado.</w:t>
      </w:r>
    </w:p>
    <w:p w:rsidR="00000000" w:rsidDel="00000000" w:rsidP="00000000" w:rsidRDefault="00000000" w:rsidRPr="00000000" ns1:paraId="00000089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v24y8shlne1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Estado actual del sistema</w:t>
      </w:r>
    </w:p>
    <w:p w:rsidR="00000000" w:rsidDel="00000000" w:rsidP="00000000" w:rsidRDefault="00000000" w:rsidRPr="00000000" ns1:paraId="000000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lg1x37lv0fm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Listo para transición a implementación controlada</w:t>
      </w:r>
    </w:p>
    <w:p w:rsidR="00000000" w:rsidDel="00000000" w:rsidP="00000000" w:rsidRDefault="00000000" w:rsidRPr="00000000" ns1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Siguientes pasos:</w:t>
      </w:r>
    </w:p>
    <w:p w:rsidR="00000000" w:rsidDel="00000000" w:rsidP="00000000" w:rsidRDefault="00000000" w:rsidRPr="00000000" ns1:paraId="0000008D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DOC-014 (Estándares de Desarrollo de Software)</w:t>
      </w:r>
    </w:p>
    <w:p w:rsidR="00000000" w:rsidDel="00000000" w:rsidP="00000000" w:rsidRDefault="00000000" w:rsidRPr="00000000" ns1:paraId="0000008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Aplicación de estándares al código existente y futuro</w:t>
      </w:r>
    </w:p>
    <w:p w:rsidR="00000000" w:rsidDel="00000000" w:rsidP="00000000" w:rsidRDefault="00000000" w:rsidRPr="00000000" ns1:paraId="0000008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Reanudación del desarrollo del MVP</w:t>
      </w:r>
    </w:p>
    <w:p w:rsidR="00000000" w:rsidDel="00000000" w:rsidP="00000000" w:rsidRDefault="00000000" w:rsidRPr="00000000" ns1:paraId="00000090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progresiva del sistema</w:t>
      </w:r>
    </w:p>
    <w:p w:rsidR="00000000" w:rsidDel="00000000" w:rsidP="00000000" w:rsidRDefault="00000000" w:rsidRPr="00000000" ns1:paraId="00000091">
      <w:pPr>
        <w:rPr/>
      </w:pPr>
      <w:r w:rsidDel="00000000" w:rsidR="00000000" w:rsidRPr="00000000">
        <w:rPr>
          <w:rtl w:val="0"/>
        </w:rPr>
      </w:r>
    </w:p>
    <w:p>
      <w:pPr>
        <w:pStyle w:val="Heading1"/>
      </w:pPr>
      <w:r>
        <w:t xml:space="preserve">14. Navegación arquitectónica de la cadena operacional</w:t>
      </w:r>
    </w:p>
    <w:p>
      <w:r>
        <w:t xml:space="preserve">La agrupación Área / Cadena Operacional es una categoría de navegación arquitectónica. No constituye una Capability, no posee contratos públicos y no modifica el ownership ni las fronteras de las Capabilities que relaciona. Continuidad de flujo no equivale a ownership contractual.</w:t>
      </w:r>
    </w:p>
    <w:p>
      <w:pPr>
        <w:pStyle w:val="Heading2"/>
      </w:pPr>
      <w:r>
        <w:t xml:space="preserve">14.1 Capabilities vigentes relacionadas</w:t>
      </w:r>
    </w:p>
    <w:p>
      <w:r>
        <w:t xml:space="preserve">Área / Cadena Operacional</w:t>
      </w:r>
    </w:p>
    <w:p>
      <w:r>
        <w:t xml:space="preserve">DOC-034 — Execution</w:t>
      </w:r>
    </w:p>
    <w:p>
      <w:r>
        <w:t xml:space="preserve">DOC-035 — Operational Request</w:t>
      </w:r>
    </w:p>
    <w:p>
      <w:r>
        <w:t xml:space="preserve">DOC-036 — Operational Submission</w:t>
      </w:r>
    </w:p>
    <w:p>
      <w:r>
        <w:t xml:space="preserve">DOC-037 — Operational Admission</w:t>
      </w:r>
    </w:p>
    <w:p>
      <w:r>
        <w:t xml:space="preserve">DOC-038 — Operational Materialization</w:t>
      </w:r>
    </w:p>
    <w:p>
      <w:r>
        <w:t xml:space="preserve">Cada una de estas Capabilities conserva su responsabilidad, activo público, productor, consumidor, invariantes, frontera, ownership, incrementos técnicos e implementación.</w:t>
      </w:r>
    </w:p>
    <w:p>
      <w:pPr>
        <w:pStyle w:val="Heading2"/>
      </w:pPr>
      <w:r>
        <w:t xml:space="preserve">14.2 Topología contractual</w:t>
      </w:r>
    </w:p>
    <w:p>
      <w:r>
        <w:t xml:space="preserve">PortfolioTransition</w:t>
      </w:r>
    </w:p>
    <w:p>
      <w:r>
        <w:t xml:space="preserve">↓ DOC-034 — Execution</w:t>
      </w:r>
    </w:p>
    <w:p>
      <w:r>
        <w:t xml:space="preserve">OperationalIntent</w:t>
      </w:r>
    </w:p>
    <w:p>
      <w:r>
        <w:t xml:space="preserve">↓ DOC-035 — Operational Request</w:t>
      </w:r>
    </w:p>
    <w:p>
      <w:r>
        <w:t xml:space="preserve">OperationalRequest</w:t>
      </w:r>
    </w:p>
    <w:p>
      <w:r>
        <w:t xml:space="preserve">↓ DOC-036 — Operational Submission</w:t>
      </w:r>
    </w:p>
    <w:p>
      <w:r>
        <w:t xml:space="preserve">OperationalSubmission</w:t>
      </w:r>
    </w:p>
    <w:p>
      <w:r>
        <w:t xml:space="preserve">↓ DOC-037 — Operational Admission</w:t>
      </w:r>
    </w:p>
    <w:p>
      <w:r>
        <w:t xml:space="preserve">OperationalAdmission</w:t>
      </w:r>
    </w:p>
    <w:p>
      <w:r>
        <w:t xml:space="preserve">↓ DOC-038 — Operational Materialization</w:t>
      </w:r>
    </w:p>
    <w:p>
      <w:r>
        <w:t xml:space="preserve">OperationalMaterialization</w:t>
      </w:r>
    </w:p>
    <w:p>
      <w:r>
        <w:t xml:space="preserve">Esta topología representa la continuidad productor → activo → consumidor. No presenta ninguna Capability como componente interno o propiedad contractual de otra.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