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Merlin — Bonsai Hybrid Resident Engine</w:t>
      </w:r>
    </w:p>
    <w:p>
      <w:r>
        <w:t>Implementation Design Specification • v0.1 • 3 October 2026</w:t>
      </w:r>
    </w:p>
    <w:p>
      <w:r>
        <w:t>Target: 24–48 GB discrete GPUs. Status: buildable design; performance hypotheses require benchmarking.</w:t>
      </w:r>
    </w:p>
    <w:p>
      <w:pPr>
        <w:pStyle w:val="Heading1"/>
      </w:pPr>
      <w:r>
        <w:t>1. Executive summary</w:t>
      </w:r>
    </w:p>
    <w:p>
      <w:r>
        <w:t>The Hybrid Resident Engine targets models whose complete compressed weights remain resident in accelerator memory. It extends the PrismML Bonsai/llama.cpp execution model with a cost-based dispatcher that can choose a matrix-accelerated path for large prefill operations and a packed-ternary native kernel for low-batch decode. The prefill/decode split is deliberately a measured decision rather than a hard-coded rule.</w:t>
      </w:r>
    </w:p>
    <w:p>
      <w:pPr>
        <w:pStyle w:val="Heading1"/>
      </w:pPr>
      <w:r>
        <w:t>2. Verified baseline</w:t>
      </w:r>
    </w:p>
    <w:p>
      <w:r>
        <w:t>PrismML currently distributes Bonsai 2 27B in ternary GGUF formats and reports a 5.9 GB compact representation. Bonsai 2 depends on PrismML's llama.cpp fork because its Hadamard activation path is not fully upstream. The demo already exposes CUDA, ROCm, Vulkan, Metal and CPU paths, so the fork is the preferred integration point rather than building a new front end.</w:t>
      </w:r>
    </w:p>
    <w:p>
      <w:pPr>
        <w:pStyle w:val="Heading1"/>
      </w:pPr>
      <w:r>
        <w:t>3. Design principles</w:t>
      </w:r>
    </w:p>
    <w:p>
      <w:r>
        <w:t>• Keep ternary weights packed for as long as possible; never create a model-sized expanded FP16/BF16 copy.</w:t>
      </w:r>
    </w:p>
    <w:p>
      <w:r>
        <w:t>• Preserve required scaling and activation/Hadamard transforms.</w:t>
      </w:r>
    </w:p>
    <w:p>
      <w:r>
        <w:t>• Treat prefill, decode, batch size and layer shape as distinct performance regimes.</w:t>
      </w:r>
    </w:p>
    <w:p>
      <w:r>
        <w:t>• Use safe reference kernels until a custom path proves both correctness and lower measured cost.</w:t>
      </w:r>
    </w:p>
    <w:p>
      <w:r>
        <w:t>• Version calibration by GPU architecture, driver, compiler and runtime build.</w:t>
      </w:r>
    </w:p>
    <w:p>
      <w:pPr>
        <w:pStyle w:val="Heading1"/>
      </w:pPr>
      <w:r>
        <w:t>4. Architecture</w:t>
      </w:r>
    </w:p>
    <w:p>
      <w:r>
        <w:t>llama.cpp / API</w:t>
      </w:r>
    </w:p>
    <w:p>
      <w:r>
        <w:t xml:space="preserve">      |</w:t>
      </w:r>
    </w:p>
    <w:p>
      <w:r>
        <w:t>Shared Bonsai Core</w:t>
      </w:r>
    </w:p>
    <w:p>
      <w:r>
        <w:t>(format • graph • KV • sampling)</w:t>
      </w:r>
    </w:p>
    <w:p>
      <w:r>
        <w:t xml:space="preserve">      |</w:t>
      </w:r>
    </w:p>
    <w:p>
      <w:r>
        <w:t>Cost-Based Dispatcher</w:t>
      </w:r>
    </w:p>
    <w:p>
      <w:r>
        <w:t xml:space="preserve">   /             \</w:t>
      </w:r>
    </w:p>
    <w:p>
      <w:r>
        <w:t>Prefill         Decode</w:t>
      </w:r>
    </w:p>
    <w:p>
      <w:r>
        <w:t>matrix path     packed ternary path</w:t>
      </w:r>
    </w:p>
    <w:p>
      <w:r>
        <w:t>CUTLASS/CUDA    custom CUDA</w:t>
      </w:r>
    </w:p>
    <w:p>
      <w:r>
        <w:t>HIP matrix      custom HIP</w:t>
      </w:r>
    </w:p>
    <w:p>
      <w:r>
        <w:t xml:space="preserve">   \             /</w:t>
      </w:r>
    </w:p>
    <w:p>
      <w:r>
        <w:t xml:space="preserve"> resident accelerator memory</w:t>
      </w:r>
    </w:p>
    <w:p>
      <w:pPr>
        <w:pStyle w:val="Heading1"/>
      </w:pPr>
      <w:r>
        <w:t>5. Core components</w:t>
      </w:r>
    </w:p>
    <w:p>
      <w:r>
        <w:t>Model loader — parse ternary GGUF metadata, scales, transforms and group layout.</w:t>
      </w:r>
    </w:p>
    <w:p>
      <w:r>
        <w:t>Execution graph — reuse llama.cpp graph construction while exposing phase and matrix shapes.</w:t>
      </w:r>
    </w:p>
    <w:p>
      <w:r>
        <w:t>Kernel registry — advertise implementations by device, format, shape and phase.</w:t>
      </w:r>
    </w:p>
    <w:p>
      <w:r>
        <w:t>Dispatcher — choose the lowest measured-cost compatible kernel with conservative fallback.</w:t>
      </w:r>
    </w:p>
    <w:p>
      <w:r>
        <w:t>KV manager — manage capacity, prefix reuse and context pressure.</w:t>
      </w:r>
    </w:p>
    <w:p>
      <w:r>
        <w:t>Profiler — record latency, bytes moved, workspace, kernel choice and end-to-end timing.</w:t>
      </w:r>
    </w:p>
    <w:p>
      <w:pPr>
        <w:pStyle w:val="Heading1"/>
      </w:pPr>
      <w:r>
        <w:t>6. NVIDIA prefill path</w:t>
      </w:r>
    </w:p>
    <w:p>
      <w:r>
        <w:t>Prototype a fused ternary-to-tile pipeline using CUTLASS/CUDA. Packed weights are staged into shared memory, scales and required transforms are applied, and only the smallest practical tile representation is presented to Tensor Core operations. No full expanded weight tensor is written back to VRAM.</w:t>
      </w:r>
    </w:p>
    <w:p/>
    <w:p>
      <w:r>
        <w:t>RTX 3090/Ampere and RTX 8000/Turing must be tuned independently. Benchmark tile size, pipeline depth, prompt length and transform fusion rather than assuming maximum Tensor Core occupancy gives the best end-to-end latency.</w:t>
      </w:r>
    </w:p>
    <w:p>
      <w:pPr>
        <w:pStyle w:val="Heading1"/>
      </w:pPr>
      <w:r>
        <w:t>7. NVIDIA decode path</w:t>
      </w:r>
    </w:p>
    <w:p>
      <w:r>
        <w:t>Prototype a CUDA GEMV/small-GEMM kernel that consumes packed ternary values directly. The central experiment is whether unpack-plus-add/subtract accumulation with fused scaling beats conversion to a Tensor Core-friendly representation at batch 1 and small continuous batches.</w:t>
      </w:r>
    </w:p>
    <w:p/>
    <w:p>
      <w:r>
        <w:t>Create specializations for batch 1, 2, 4 and 8. Keep Tensor Core decode registered as another candidate because the crossover can move toward matrix hardware as batch size grows.</w:t>
      </w:r>
    </w:p>
    <w:p>
      <w:pPr>
        <w:pStyle w:val="Heading1"/>
      </w:pPr>
      <w:r>
        <w:t>8. AMD path</w:t>
      </w:r>
    </w:p>
    <w:p>
      <w:r>
        <w:t>Use the same dispatcher and kernel contracts with HIP/ROCm implementations. Matrix-prefill and packed-ternary decode are independent candidates. Discover device architecture at runtime and tune per AMD generation; do not mechanically translate CUDA assumptions.</w:t>
      </w:r>
    </w:p>
    <w:p>
      <w:pPr>
        <w:pStyle w:val="Heading1"/>
      </w:pPr>
      <w:r>
        <w:t>9. Cost-based dispatcher</w:t>
      </w:r>
    </w:p>
    <w:p>
      <w:r>
        <w:t>Dispatch key: {architecture, operation, M, N, K, batch, tokens-in-flight, weight-format}. At startup, benchmark representative shapes after warm-up and persist median costs. At runtime, select the fastest calibrated compatible kernel. Fall back to the PrismML/reference path for unseen or unsafe shapes. Invalidate/retest profiles when the driver, compiler or runtime changes, or when observed cost drifts materially.</w:t>
      </w:r>
    </w:p>
    <w:p>
      <w:pPr>
        <w:pStyle w:val="Heading1"/>
      </w:pPr>
      <w:r>
        <w:t>10. Memory policy</w:t>
      </w:r>
    </w:p>
    <w:p>
      <w:r>
        <w:t>Packed weights remain resident for model lifetime. Transformed tiles are bounded scratch only. KV cache is managed independently and should favor prefix reuse. Workspace is preallocated to avoid decode-time allocation jitter. Host metadata remains CPU-resident, with pinned staging only where measurement justifies it.</w:t>
      </w:r>
    </w:p>
    <w:p>
      <w:pPr>
        <w:pStyle w:val="Heading1"/>
      </w:pPr>
      <w:r>
        <w:t>11. Repository structure</w:t>
      </w:r>
    </w:p>
    <w:p>
      <w:r>
        <w:t>engine/</w:t>
      </w:r>
    </w:p>
    <w:p>
      <w:r>
        <w:t xml:space="preserve">  core/  formats/  dispatch/  memory/  telemetry/</w:t>
      </w:r>
    </w:p>
    <w:p>
      <w:r>
        <w:t xml:space="preserve">  backends/cuda/prefill_cutlass/</w:t>
      </w:r>
    </w:p>
    <w:p>
      <w:r>
        <w:t xml:space="preserve">  backends/cuda/decode_ternary/</w:t>
      </w:r>
    </w:p>
    <w:p>
      <w:r>
        <w:t xml:space="preserve">  backends/hip/prefill_matrix/</w:t>
      </w:r>
    </w:p>
    <w:p>
      <w:r>
        <w:t xml:space="preserve">  backends/hip/decode_ternary/</w:t>
      </w:r>
    </w:p>
    <w:p>
      <w:r>
        <w:t xml:space="preserve">  tests/  benchmarks/</w:t>
      </w:r>
    </w:p>
    <w:p>
      <w:pPr>
        <w:pStyle w:val="Heading1"/>
      </w:pPr>
      <w:r>
        <w:t>12. Development plan</w:t>
      </w:r>
    </w:p>
    <w:p>
      <w:r>
        <w:t>1. Reproduce Bonsai 2 reference correctness and baseline timings.</w:t>
      </w:r>
    </w:p>
    <w:p>
      <w:r>
        <w:t>2. Add per-layer/per-operation instrumentation without changing kernels.</w:t>
      </w:r>
    </w:p>
    <w:p>
      <w:r>
        <w:t>3. Build CUDA batch-1 packed ternary decode prototype and validate logits.</w:t>
      </w:r>
    </w:p>
    <w:p>
      <w:r>
        <w:t>4. Build fused CUDA/CUTLASS prefill prototype across short and long prompts.</w:t>
      </w:r>
    </w:p>
    <w:p>
      <w:r>
        <w:t>5. Implement startup calibration and persistent device profiles.</w:t>
      </w:r>
    </w:p>
    <w:p>
      <w:r>
        <w:t>6. Port contracts to HIP, then tune AMD-specific kernels.</w:t>
      </w:r>
    </w:p>
    <w:p>
      <w:r>
        <w:t>7. Add continuous batching, prefix-cache and long-context regression tests.</w:t>
      </w:r>
    </w:p>
    <w:p>
      <w:r>
        <w:t>8. Publish reproducible benchmark profiles for each Merlin target GPU.</w:t>
      </w:r>
    </w:p>
    <w:p>
      <w:pPr>
        <w:pStyle w:val="Heading1"/>
      </w:pPr>
      <w:r>
        <w:t>13. Acceptance gates</w:t>
      </w:r>
    </w:p>
    <w:p>
      <w:r>
        <w:t>Correctness — no unexplained semantic/logit drift beyond documented numeric tolerance.</w:t>
      </w:r>
    </w:p>
    <w:p>
      <w:r>
        <w:t>Prefill — custom path becomes default only where it beats reference TTFT/prompt throughput.</w:t>
      </w:r>
    </w:p>
    <w:p>
      <w:r>
        <w:t>Decode — native ternary path is selected only where calibrated latency is lower.</w:t>
      </w:r>
    </w:p>
    <w:p>
      <w:r>
        <w:t>Memory — no model-sized expanded copy; workspace is bounded and observable.</w:t>
      </w:r>
    </w:p>
    <w:p>
      <w:r>
        <w:t>Stability — long-context/generation tests show no leaks, corruption or dispatch oscillation.</w:t>
      </w:r>
    </w:p>
    <w:p>
      <w:pPr>
        <w:pStyle w:val="Heading1"/>
      </w:pPr>
      <w:r>
        <w:t>14. Primary hardware matrix</w:t>
      </w:r>
    </w:p>
    <w:p>
      <w:r>
        <w:t>RTX 3090 24 GB — primary Ampere CUDA target.</w:t>
      </w:r>
    </w:p>
    <w:p>
      <w:r>
        <w:t>RTX 8000 48 GB — Turing target and larger resident-model envelope.</w:t>
      </w:r>
    </w:p>
    <w:p>
      <w:r>
        <w:t>Radeon AI PRO R9700 32 GB — primary discrete AMD/HIP target.</w:t>
      </w:r>
    </w:p>
    <w:p>
      <w:r>
        <w:t>Ryzen AI Max+ 395 — useful HIP comparison, though the streaming engine is the strategic Halo profile.</w:t>
      </w:r>
    </w:p>
    <w:p>
      <w:pPr>
        <w:pStyle w:val="Heading1"/>
      </w:pPr>
      <w:r>
        <w:t>15. Risks and open questions</w:t>
      </w:r>
    </w:p>
    <w:p>
      <w:r>
        <w:t>Tensor conversion/transform overhead may erase prefill gains for some shapes. Native ternary CUDA/HIP may not beat PrismML's existing optimized kernels. Long-context attention and KV movement may dominate after weight kernels improve. Batching can move the decode crossover back toward matrix hardware. Earlier speed estimates are targets only; this design intentionally replaces guesses with calibration.</w:t>
      </w:r>
    </w:p>
    <w:p>
      <w:pPr>
        <w:pStyle w:val="Heading1"/>
      </w:pPr>
      <w:r>
        <w:t>16. Definition of success</w:t>
      </w:r>
    </w:p>
    <w:p>
      <w:r>
        <w:t>The resident engine succeeds when it preserves Bonsai's compact representation, automatically selects the fastest verified path for each phase/shape/device, and produces reproducible end-to-end improvements without changing model semantics.</w:t>
      </w:r>
    </w:p>
    <w:p>
      <w:pPr>
        <w:pStyle w:val="Heading1"/>
      </w:pPr>
      <w:r>
        <w:t>References</w:t>
      </w:r>
    </w:p>
    <w:p>
      <w:r>
        <w:t>PrismML-Eng/Bonsai-demo — Bonsai 2 formats, supported runtime paths and upstream status.</w:t>
      </w:r>
    </w:p>
    <w:p>
      <w:r>
        <w:t>prism-ml/Ternary-Bonsai-2-27B-gguf — model/runtime notes and long-context configuration.</w:t>
      </w:r>
    </w:p>
    <w:p>
      <w:r>
        <w:t>CUTLASS/CUDA and ROCm/HIP documentation should be pinned to the exact implementation versions.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