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Merlin — Bonsai Streaming MoE Engine</w:t>
      </w:r>
    </w:p>
    <w:p>
      <w:r>
        <w:t>Implementation Design Specification • v0.1 • 3 October 2026</w:t>
      </w:r>
    </w:p>
    <w:p>
      <w:r>
        <w:t>Target: large-unified-memory systems such as 128 GB Halo, with NVMe-backed expert streaming.</w:t>
      </w:r>
    </w:p>
    <w:p>
      <w:pPr>
        <w:pStyle w:val="Heading1"/>
      </w:pPr>
      <w:r>
        <w:t>1. Executive summary</w:t>
      </w:r>
    </w:p>
    <w:p>
      <w:r>
        <w:t>This engine targets MoE models whose total parameter set exceeds fast memory but whose routed working set is much smaller. It combines Bonsai-style compact ternary weights with a Colibrì-inspired placement hierarchy spanning accelerator/unified memory, host memory and NVMe. Placement is a performance policy only: it must never silently change precision, router decisions or model semantics.</w:t>
      </w:r>
    </w:p>
    <w:p/>
    <w:p>
      <w:r>
        <w:t>For a 128 GB Ryzen AI Max+ Halo, unified memory becomes the large hot tier. Dense/shared tensors and valuable routed experts remain resident; colder experts live on NVMe and are prefetched or demand-loaded while routing, I/O and compute are overlapped.</w:t>
      </w:r>
    </w:p>
    <w:p>
      <w:pPr>
        <w:pStyle w:val="Heading1"/>
      </w:pPr>
      <w:r>
        <w:t>2. Design principles</w:t>
      </w:r>
    </w:p>
    <w:p>
      <w:r>
        <w:t>• Treat fast memory, host RAM and NVMe as tiers for identical weights.</w:t>
      </w:r>
    </w:p>
    <w:p>
      <w:r>
        <w:t>• Keep dense/shared tensors resident whenever possible.</w:t>
      </w:r>
    </w:p>
    <w:p>
      <w:r>
        <w:t>• Cache experts by measured routing heat and reuse, not static assumptions.</w:t>
      </w:r>
    </w:p>
    <w:p>
      <w:r>
        <w:t>• Stream ternary-packed experts to minimize bytes moved.</w:t>
      </w:r>
    </w:p>
    <w:p>
      <w:r>
        <w:t>• Preserve exact router semantics; cache misses change latency, not behavior.</w:t>
      </w:r>
    </w:p>
    <w:p>
      <w:r>
        <w:t>• Make prefetch, pinning and SSD striping measurable and disableable.</w:t>
      </w:r>
    </w:p>
    <w:p>
      <w:pPr>
        <w:pStyle w:val="Heading1"/>
      </w:pPr>
      <w:r>
        <w:t>3. Verified Colibrì baseline</w:t>
      </w:r>
    </w:p>
    <w:p>
      <w:r>
        <w:t>Colibrì already models VRAM, RAM and storage as one placement hierarchy. Its current design includes per-layer LRU caching, a learned pinned hot store, one-layer-ahead prefetch, batched expert unions, overlapped I/O/compute, O_DIRECT where useful and optional dual-SSD striping. It explicitly preserves router semantics and model precision across tiers: insufficient fast memory may reduce speed, but must not redefine the model.</w:t>
      </w:r>
    </w:p>
    <w:p>
      <w:pPr>
        <w:pStyle w:val="Heading1"/>
      </w:pPr>
      <w:r>
        <w:t>4. Architecture</w:t>
      </w:r>
    </w:p>
    <w:p>
      <w:r>
        <w:t>llama.cpp-compatible front-end</w:t>
      </w:r>
    </w:p>
    <w:p>
      <w:r>
        <w:t xml:space="preserve">          |</w:t>
      </w:r>
    </w:p>
    <w:p>
      <w:r>
        <w:t xml:space="preserve">   Shared Bonsai Core</w:t>
      </w:r>
    </w:p>
    <w:p>
      <w:r>
        <w:t>(format • graph • KV • sampling)</w:t>
      </w:r>
    </w:p>
    <w:p>
      <w:r>
        <w:t xml:space="preserve">          |</w:t>
      </w:r>
    </w:p>
    <w:p>
      <w:r>
        <w:t xml:space="preserve">      MoE Router</w:t>
      </w:r>
    </w:p>
    <w:p>
      <w:r>
        <w:t xml:space="preserve">          |</w:t>
      </w:r>
    </w:p>
    <w:p>
      <w:r>
        <w:t xml:space="preserve"> Expert Residency Manager</w:t>
      </w:r>
    </w:p>
    <w:p>
      <w:r>
        <w:t xml:space="preserve"> heat • LRU • pin • prefetch</w:t>
      </w:r>
    </w:p>
    <w:p>
      <w:r>
        <w:t xml:space="preserve">   /        |        \</w:t>
      </w:r>
    </w:p>
    <w:p>
      <w:r>
        <w:t>fast tier  RAM tier  NVMe tier</w:t>
      </w:r>
    </w:p>
    <w:p>
      <w:r>
        <w:t xml:space="preserve">   \        |        /</w:t>
      </w:r>
    </w:p>
    <w:p>
      <w:r>
        <w:t xml:space="preserve">     Staging Scheduler</w:t>
      </w:r>
    </w:p>
    <w:p>
      <w:r>
        <w:t xml:space="preserve">          |</w:t>
      </w:r>
    </w:p>
    <w:p>
      <w:r>
        <w:t xml:space="preserve"> Hybrid Compute Backend</w:t>
      </w:r>
    </w:p>
    <w:p>
      <w:r>
        <w:t>matrix prefill + packed ternary decode</w:t>
      </w:r>
    </w:p>
    <w:p>
      <w:pPr>
        <w:pStyle w:val="Heading1"/>
      </w:pPr>
      <w:r>
        <w:t>5. Tensor placement</w:t>
      </w:r>
    </w:p>
    <w:p>
      <w:r>
        <w:t>Embeddings/output — fast/unified memory; frequent access makes them poor streaming candidates.</w:t>
      </w:r>
    </w:p>
    <w:p>
      <w:r>
        <w:t>Attention + shared/dense blocks — fast/unified memory; touched every token.</w:t>
      </w:r>
    </w:p>
    <w:p>
      <w:r>
        <w:t>Hot routed experts — fast/unified memory.</w:t>
      </w:r>
    </w:p>
    <w:p>
      <w:r>
        <w:t>Warm routed experts — host RAM where a distinct RAM tier exists and is useful.</w:t>
      </w:r>
    </w:p>
    <w:p>
      <w:r>
        <w:t>Cold routed experts — NVMe; stage only when routing proves demand.</w:t>
      </w:r>
    </w:p>
    <w:p>
      <w:r>
        <w:t>KV cache — fast/unified memory with an explicit reserved budget.</w:t>
      </w:r>
    </w:p>
    <w:p>
      <w:pPr>
        <w:pStyle w:val="Heading1"/>
      </w:pPr>
      <w:r>
        <w:t>6. Expert object and on-disk index</w:t>
      </w:r>
    </w:p>
    <w:p>
      <w:r>
        <w:t>Conversion produces independently addressable expert blobs with alignment suitable for batched/direct I/O. The index maps {layer, expert} to file ID, offset, length, alignment, checksum, ternary packing format, scale metadata and transform metadata. Expert blobs remain in the same logical precision regardless of tier.</w:t>
      </w:r>
    </w:p>
    <w:p>
      <w:pPr>
        <w:pStyle w:val="Heading1"/>
      </w:pPr>
      <w:r>
        <w:t>7. Per-layer execution path</w:t>
      </w:r>
    </w:p>
    <w:p>
      <w:r>
        <w:t>1. Run the router and form the expert set needed by the active batch.</w:t>
      </w:r>
    </w:p>
    <w:p>
      <w:r>
        <w:t>2. Probe pinned-hot and LRU residency tables.</w:t>
      </w:r>
    </w:p>
    <w:p>
      <w:r>
        <w:t>3. Coalesce missing expert reads and issue asynchronous NVMe requests.</w:t>
      </w:r>
    </w:p>
    <w:p>
      <w:r>
        <w:t>4. When useful, prefetch the following layer's predicted expert set.</w:t>
      </w:r>
    </w:p>
    <w:p>
      <w:r>
        <w:t>5. Stage packed ternary expert blobs directly into the execution tier.</w:t>
      </w:r>
    </w:p>
    <w:p>
      <w:r>
        <w:t>6. Execute routed FFNs using the resident engine's matrix/native-ternary backend.</w:t>
      </w:r>
    </w:p>
    <w:p>
      <w:r>
        <w:t>7. Update routing heat, reuse statistics and eviction scores.</w:t>
      </w:r>
    </w:p>
    <w:p>
      <w:r>
        <w:t>8. Evict only after consumers complete and preserve a free-space safety margin.</w:t>
      </w:r>
    </w:p>
    <w:p>
      <w:pPr>
        <w:pStyle w:val="Heading1"/>
      </w:pPr>
      <w:r>
        <w:t>8. Residency policy</w:t>
      </w:r>
    </w:p>
    <w:p>
      <w:r>
        <w:t>Start with per-layer LRU plus explicit pinning. A later score can combine recent frequency, reuse probability, measured load cost, pinning benefit and resident bytes. Learned pinning and predictive prefetch should be introduced only after trace replay demonstrates a repeatable benefit; history can overfit a workload.</w:t>
      </w:r>
    </w:p>
    <w:p>
      <w:pPr>
        <w:pStyle w:val="Heading1"/>
      </w:pPr>
      <w:r>
        <w:t>9. Prefetch and I/O</w:t>
      </w:r>
    </w:p>
    <w:p>
      <w:r>
        <w:t>Use one-layer-ahead prefetch as the first speculative policy. Batch the union of experts required by the current decode batch to reduce small random reads. Overlap asynchronous reads with attention/dense computation. Benchmark buffered I/O versus direct I/O instead of assuming O_DIRECT wins everywhere. Support an optional mirrored model on a second NVMe device with deterministic weighted striping based on measured bandwidth.</w:t>
      </w:r>
    </w:p>
    <w:p>
      <w:pPr>
        <w:pStyle w:val="Heading1"/>
      </w:pPr>
      <w:r>
        <w:t>10. Halo 128 GB profile</w:t>
      </w:r>
    </w:p>
    <w:p>
      <w:r>
        <w:t>Treat unified memory as the primary hot tier, subject to OS/runtime reservation and actual allocatable limits. Pin dense/shared tensors first. Reserve KV capacity second. Allocate the remaining safe budget to the expert cache. Expert caching must never starve KV growth at long context.</w:t>
      </w:r>
    </w:p>
    <w:p/>
    <w:p>
      <w:r>
        <w:t>At startup, benchmark storage bandwidth, memory bandwidth and representative compute kernels before selecting cache size, prefetch depth and I/O concurrency. Use HIP/ROCm compute where supported; CPU execution remains a correctness/fallback path rather than the desired steady state.</w:t>
      </w:r>
    </w:p>
    <w:p>
      <w:pPr>
        <w:pStyle w:val="Heading1"/>
      </w:pPr>
      <w:r>
        <w:t>11. Relationship to the Resident Engine</w:t>
      </w:r>
    </w:p>
    <w:p>
      <w:r>
        <w:t>Shared: Bonsai formats, model loader, graph execution, KV/sampling, matrix-prefill kernels, packed-ternary decode kernels, telemetry and correctness tests.</w:t>
      </w:r>
    </w:p>
    <w:p/>
    <w:p>
      <w:r>
        <w:t>Streaming-specific: expert index/shard layout, residency manager, async NVMe I/O, LRU/hot-store, prefetch, placement planner, trace replay and cache simulation.</w:t>
      </w:r>
    </w:p>
    <w:p/>
    <w:p>
      <w:r>
        <w:t>This keeps the project as one inference system with two execution profiles rather than two unrelated codebases.</w:t>
      </w:r>
    </w:p>
    <w:p>
      <w:pPr>
        <w:pStyle w:val="Heading1"/>
      </w:pPr>
      <w:r>
        <w:t>12. Repository structure</w:t>
      </w:r>
    </w:p>
    <w:p>
      <w:r>
        <w:t>engine/</w:t>
      </w:r>
    </w:p>
    <w:p>
      <w:r>
        <w:t xml:space="preserve">  core/  formats/  backends/</w:t>
      </w:r>
    </w:p>
    <w:p>
      <w:r>
        <w:t xml:space="preserve">  streaming/</w:t>
      </w:r>
    </w:p>
    <w:p>
      <w:r>
        <w:t xml:space="preserve">    expert_index/</w:t>
      </w:r>
    </w:p>
    <w:p>
      <w:r>
        <w:t xml:space="preserve">    residency/</w:t>
      </w:r>
    </w:p>
    <w:p>
      <w:r>
        <w:t xml:space="preserve">    io/</w:t>
      </w:r>
    </w:p>
    <w:p>
      <w:r>
        <w:t xml:space="preserve">    prefetch/</w:t>
      </w:r>
    </w:p>
    <w:p>
      <w:r>
        <w:t xml:space="preserve">    placement/</w:t>
      </w:r>
    </w:p>
    <w:p>
      <w:r>
        <w:t xml:space="preserve">    trace/</w:t>
      </w:r>
    </w:p>
    <w:p>
      <w:r>
        <w:t xml:space="preserve">  telemetry/</w:t>
      </w:r>
    </w:p>
    <w:p>
      <w:r>
        <w:t xml:space="preserve">  tests/</w:t>
      </w:r>
    </w:p>
    <w:p>
      <w:r>
        <w:t xml:space="preserve">  benchmarks/</w:t>
      </w:r>
    </w:p>
    <w:p>
      <w:pPr>
        <w:pStyle w:val="Heading1"/>
      </w:pPr>
      <w:r>
        <w:t>13. Development plan</w:t>
      </w:r>
    </w:p>
    <w:p>
      <w:r>
        <w:t>1. Reuse the resident engine's Bonsai loader and compute backend.</w:t>
      </w:r>
    </w:p>
    <w:p>
      <w:r>
        <w:t>2. Define an expert-addressable on-disk format and conversion/index tool.</w:t>
      </w:r>
    </w:p>
    <w:p>
      <w:r>
        <w:t>3. Implement demand loading with a fixed RAM/unified-memory cache.</w:t>
      </w:r>
    </w:p>
    <w:p>
      <w:r>
        <w:t>4. Add per-layer LRU and explicit pinning.</w:t>
      </w:r>
    </w:p>
    <w:p>
      <w:r>
        <w:t>5. Add async batched reads and overlap I/O with compute.</w:t>
      </w:r>
    </w:p>
    <w:p>
      <w:r>
        <w:t>6. Add one-layer-ahead prefetch and validate with captured routing traces.</w:t>
      </w:r>
    </w:p>
    <w:p>
      <w:r>
        <w:t>7. Add startup planning/tuning and optional dual-NVMe striping.</w:t>
      </w:r>
    </w:p>
    <w:p>
      <w:r>
        <w:t>8. Add learned hot-store only after simpler policies have a measured baseline.</w:t>
      </w:r>
    </w:p>
    <w:p>
      <w:r>
        <w:t>9. Benchmark on Halo with resident-small, partially streamed and heavily streamed model regimes.</w:t>
      </w:r>
    </w:p>
    <w:p>
      <w:pPr>
        <w:pStyle w:val="Heading1"/>
      </w:pPr>
      <w:r>
        <w:t>14. Telemetry</w:t>
      </w:r>
    </w:p>
    <w:p>
      <w:r>
        <w:t>Per token/layer record: experts requested, tier hit/miss, bytes read by tier, NVMe latency, queue depth, prefetch hit/waste, eviction count, compute time, I/O wait, overlap efficiency, cache occupancy, TTFT and decode tokens/s. Without this instrumentation, streaming optimization becomes guesswork.</w:t>
      </w:r>
    </w:p>
    <w:p>
      <w:pPr>
        <w:pStyle w:val="Heading1"/>
      </w:pPr>
      <w:r>
        <w:t>15. Acceptance gates</w:t>
      </w:r>
    </w:p>
    <w:p>
      <w:r>
        <w:t>Semantic invariance — moving an expert between tiers cannot change its precision or router choice.</w:t>
      </w:r>
    </w:p>
    <w:p>
      <w:r>
        <w:t>Correctness — streamed and fully resident executions agree within documented numeric tolerance.</w:t>
      </w:r>
    </w:p>
    <w:p>
      <w:r>
        <w:t>Cache — measured hit rate and avoided bytes justify policy complexity.</w:t>
      </w:r>
    </w:p>
    <w:p>
      <w:r>
        <w:t>Prefetch — enabled only when end-to-end latency improves; wasted reads are visible.</w:t>
      </w:r>
    </w:p>
    <w:p>
      <w:r>
        <w:t>I/O — no deadlock, stale expert, partial-read corruption or unbounded queue growth.</w:t>
      </w:r>
    </w:p>
    <w:p>
      <w:r>
        <w:t>Memory — KV reservation and safety margin are enforced under pressure.</w:t>
      </w:r>
    </w:p>
    <w:p>
      <w:pPr>
        <w:pStyle w:val="Heading1"/>
      </w:pPr>
      <w:r>
        <w:t>16. Failure handling</w:t>
      </w:r>
    </w:p>
    <w:p>
      <w:r>
        <w:t>Checksum expert blobs before first use or during deep validation. Retry short/failed reads. If prefetch misses, fall back to demand loading rather than skipping an expert. If memory pressure exceeds policy limits, evict experts before touching mandatory dense/KV reservations. A storage failure is surfaced explicitly; the engine never substitutes a different expert.</w:t>
      </w:r>
    </w:p>
    <w:p>
      <w:pPr>
        <w:pStyle w:val="Heading1"/>
      </w:pPr>
      <w:r>
        <w:t>17. Benchmark plan</w:t>
      </w:r>
    </w:p>
    <w:p>
      <w:r>
        <w:t>Compare: fully resident baseline where possible; demand-only streaming; LRU; LRU+pinning; LRU+prefetch; and multi-SSD. Sweep cache budgets, context lengths and batch sizes. Report TTFT, decode tokens/s, storage GB/s, tier hit rate and percentage of wall time stalled on I/O. Use repeated routing traces to test whether learned policies generalize or merely memorize.</w:t>
      </w:r>
    </w:p>
    <w:p>
      <w:pPr>
        <w:pStyle w:val="Heading1"/>
      </w:pPr>
      <w:r>
        <w:t>18. Key research question</w:t>
      </w:r>
    </w:p>
    <w:p>
      <w:r>
        <w:t>Ternary packing changes the storage equation because every expert blob can be much smaller than conventional FP16 and even common 4-bit representations. The central experiment is whether reduced bytes per expert plus a 128 GB hot tier makes expert streaming fast enough that compute again becomes the dominant cost. That must be measured model-by-model.</w:t>
      </w:r>
    </w:p>
    <w:p>
      <w:pPr>
        <w:pStyle w:val="Heading1"/>
      </w:pPr>
      <w:r>
        <w:t>19. Definition of success</w:t>
      </w:r>
    </w:p>
    <w:p>
      <w:r>
        <w:t>The streaming engine succeeds when a model larger than fast memory executes with unchanged semantics, bounded memory use and predictable degradation as cache misses rise—and when Bonsai packing plus placement/prefetch yields reproducible improvements over a straightforward streamed baseline.</w:t>
      </w:r>
    </w:p>
    <w:p>
      <w:pPr>
        <w:pStyle w:val="Heading1"/>
      </w:pPr>
      <w:r>
        <w:t>References</w:t>
      </w:r>
    </w:p>
    <w:p>
      <w:r>
        <w:t>jenovauh/colibri-LLM — multitier placement, LRU/hot-store, prefetch, overlapped I/O and semantic-invariance principles.</w:t>
      </w:r>
    </w:p>
    <w:p>
      <w:r>
        <w:t>PrismML-Eng/Bonsai-demo — ternary formats and runtime integration.</w:t>
      </w:r>
    </w:p>
    <w:p>
      <w:r>
        <w:t>The final implementation should pin exact repository commits and licenses before code reuse; architecture reuse and direct source reuse should be tracked separately.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