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
        <w:jc w:val="center"/>
      </w:pPr>
      <w:r>
        <w:rPr>
          <w:b/>
          <w:bCs/>
          <w:color w:val="0023D1"/>
          <w:sz w:val="32"/>
          <w:szCs w:val="32"/>
        </w:rPr>
        <w:t xml:space="preserve">TÉRMINOS Y CONDICIONES DEL CLUB TUTURNO</w:t>
      </w:r>
    </w:p>
    <w:p>
      <w:pPr>
        <w:spacing w:after="220"/>
        <w:jc w:val="center"/>
      </w:pPr>
      <w:r>
        <w:rPr>
          <w:color w:val="6A7086"/>
          <w:sz w:val="20"/>
          <w:szCs w:val="20"/>
        </w:rPr>
        <w:t xml:space="preserve">Vigentes desde su publicación · Agosto 2026</w:t>
      </w:r>
    </w:p>
    <w:p>
      <w:pPr>
        <w:spacing w:after="130" w:before="280"/>
      </w:pPr>
      <w:r>
        <w:rPr>
          <w:rFonts w:ascii="Calibri" w:cs="Calibri" w:eastAsia="Calibri" w:hAnsi="Calibri"/>
          <w:b/>
          <w:bCs/>
          <w:color w:val="0023D1"/>
          <w:sz w:val="27"/>
          <w:szCs w:val="27"/>
        </w:rPr>
        <w:t xml:space="preserve">1. Objeto y naturaleza del programa</w:t>
      </w:r>
    </w:p>
    <w:p>
      <w:pPr>
        <w:spacing w:after="110"/>
      </w:pPr>
      <w:r>
        <w:rPr>
          <w:rFonts w:ascii="Calibri" w:cs="Calibri" w:eastAsia="Calibri" w:hAnsi="Calibri"/>
          <w:color w:val="101528"/>
          <w:sz w:val="22"/>
          <w:szCs w:val="22"/>
        </w:rPr>
        <w:t xml:space="preserve">El Club TuTurno (en adelante, “el Club”) es un programa de fidelización gratuito ofrecido por TuTurno a los usuarios de su plataforma tecnológica. El Club reconoce el comportamiento de pago puntual mediante puntos, medallas y beneficios, conforme a las reglas aquí descritas. La participación es automática para todo usuario activo y no genera costo alguno.</w:t>
      </w:r>
    </w:p>
    <w:p>
      <w:pPr>
        <w:spacing w:after="130" w:before="280"/>
      </w:pPr>
      <w:r>
        <w:rPr>
          <w:rFonts w:ascii="Calibri" w:cs="Calibri" w:eastAsia="Calibri" w:hAnsi="Calibri"/>
          <w:b/>
          <w:bCs/>
          <w:color w:val="0023D1"/>
          <w:sz w:val="27"/>
          <w:szCs w:val="27"/>
        </w:rPr>
        <w:t xml:space="preserve">2. Definiciones</w:t>
      </w:r>
    </w:p>
    <w:p>
      <w:pPr>
        <w:pStyle w:val="ListParagraph"/>
        <w:numPr>
          <w:ilvl w:val="0"/>
          <w:numId w:val="2"/>
        </w:numPr>
        <w:spacing w:after="60"/>
      </w:pPr>
      <w:r>
        <w:rPr>
          <w:rFonts w:ascii="Calibri" w:cs="Calibri" w:eastAsia="Calibri" w:hAnsi="Calibri"/>
          <w:b/>
          <w:bCs/>
          <w:color w:val="101528"/>
          <w:sz w:val="22"/>
          <w:szCs w:val="22"/>
        </w:rPr>
        <w:t xml:space="preserve">Medalla: </w:t>
      </w:r>
      <w:r>
        <w:rPr>
          <w:rFonts w:ascii="Calibri" w:cs="Calibri" w:eastAsia="Calibri" w:hAnsi="Calibri"/>
          <w:color w:val="101528"/>
          <w:sz w:val="22"/>
          <w:szCs w:val="22"/>
        </w:rPr>
        <w:t xml:space="preserve">nivel del usuario dentro del Club (Bronce, Plata, Oro, Diamante), determinado por sus puntos acumulados.</w:t>
      </w:r>
    </w:p>
    <w:p>
      <w:pPr>
        <w:pStyle w:val="ListParagraph"/>
        <w:numPr>
          <w:ilvl w:val="0"/>
          <w:numId w:val="2"/>
        </w:numPr>
        <w:spacing w:after="60"/>
      </w:pPr>
      <w:r>
        <w:rPr>
          <w:rFonts w:ascii="Calibri" w:cs="Calibri" w:eastAsia="Calibri" w:hAnsi="Calibri"/>
          <w:b/>
          <w:bCs/>
          <w:color w:val="101528"/>
          <w:sz w:val="22"/>
          <w:szCs w:val="22"/>
        </w:rPr>
        <w:t xml:space="preserve">Puntos: </w:t>
      </w:r>
      <w:r>
        <w:rPr>
          <w:rFonts w:ascii="Calibri" w:cs="Calibri" w:eastAsia="Calibri" w:hAnsi="Calibri"/>
          <w:color w:val="101528"/>
          <w:sz w:val="22"/>
          <w:szCs w:val="22"/>
        </w:rPr>
        <w:t xml:space="preserve">unidades acumulables que reflejan los pagos de cuotas realizados a tiempo. Carecen de valor monetario.</w:t>
      </w:r>
    </w:p>
    <w:p>
      <w:pPr>
        <w:pStyle w:val="ListParagraph"/>
        <w:numPr>
          <w:ilvl w:val="0"/>
          <w:numId w:val="2"/>
        </w:numPr>
        <w:spacing w:after="60"/>
      </w:pPr>
      <w:r>
        <w:rPr>
          <w:rFonts w:ascii="Calibri" w:cs="Calibri" w:eastAsia="Calibri" w:hAnsi="Calibri"/>
          <w:b/>
          <w:bCs/>
          <w:color w:val="101528"/>
          <w:sz w:val="22"/>
          <w:szCs w:val="22"/>
        </w:rPr>
        <w:t xml:space="preserve">SAN Perfecto: </w:t>
      </w:r>
      <w:r>
        <w:rPr>
          <w:rFonts w:ascii="Calibri" w:cs="Calibri" w:eastAsia="Calibri" w:hAnsi="Calibri"/>
          <w:color w:val="101528"/>
          <w:sz w:val="22"/>
          <w:szCs w:val="22"/>
        </w:rPr>
        <w:t xml:space="preserve">SAN completado por el usuario con la totalidad de sus cuotas pagadas a tiempo, de principio a fin.</w:t>
      </w:r>
    </w:p>
    <w:p>
      <w:pPr>
        <w:pStyle w:val="ListParagraph"/>
        <w:numPr>
          <w:ilvl w:val="0"/>
          <w:numId w:val="2"/>
        </w:numPr>
        <w:spacing w:after="60"/>
      </w:pPr>
      <w:r>
        <w:rPr>
          <w:rFonts w:ascii="Calibri" w:cs="Calibri" w:eastAsia="Calibri" w:hAnsi="Calibri"/>
          <w:b/>
          <w:bCs/>
          <w:color w:val="101528"/>
          <w:sz w:val="22"/>
          <w:szCs w:val="22"/>
        </w:rPr>
        <w:t xml:space="preserve">Racha: </w:t>
      </w:r>
      <w:r>
        <w:rPr>
          <w:rFonts w:ascii="Calibri" w:cs="Calibri" w:eastAsia="Calibri" w:hAnsi="Calibri"/>
          <w:color w:val="101528"/>
          <w:sz w:val="22"/>
          <w:szCs w:val="22"/>
        </w:rPr>
        <w:t xml:space="preserve">cantidad de SANes Perfectos consecutivos acumulados por el usuario.</w:t>
      </w:r>
    </w:p>
    <w:p>
      <w:pPr>
        <w:pStyle w:val="ListParagraph"/>
        <w:numPr>
          <w:ilvl w:val="0"/>
          <w:numId w:val="2"/>
        </w:numPr>
        <w:spacing w:after="60"/>
      </w:pPr>
      <w:r>
        <w:rPr>
          <w:rFonts w:ascii="Calibri" w:cs="Calibri" w:eastAsia="Calibri" w:hAnsi="Calibri"/>
          <w:b/>
          <w:bCs/>
          <w:color w:val="101528"/>
          <w:sz w:val="22"/>
          <w:szCs w:val="22"/>
        </w:rPr>
        <w:t xml:space="preserve">Episodio de mora: </w:t>
      </w:r>
      <w:r>
        <w:rPr>
          <w:rFonts w:ascii="Calibri" w:cs="Calibri" w:eastAsia="Calibri" w:hAnsi="Calibri"/>
          <w:color w:val="101528"/>
          <w:sz w:val="22"/>
          <w:szCs w:val="22"/>
        </w:rPr>
        <w:t xml:space="preserve">período que inicia con la primera cuota vencida no pagada y finaliza cuando el usuario regulariza la totalidad de las cuotas vencidas y los recargos aplicables.</w:t>
      </w:r>
    </w:p>
    <w:p>
      <w:pPr>
        <w:pStyle w:val="ListParagraph"/>
        <w:numPr>
          <w:ilvl w:val="0"/>
          <w:numId w:val="2"/>
        </w:numPr>
        <w:spacing w:after="60"/>
      </w:pPr>
      <w:r>
        <w:rPr>
          <w:rFonts w:ascii="Calibri" w:cs="Calibri" w:eastAsia="Calibri" w:hAnsi="Calibri"/>
          <w:b/>
          <w:bCs/>
          <w:color w:val="101528"/>
          <w:sz w:val="22"/>
          <w:szCs w:val="22"/>
        </w:rPr>
        <w:t xml:space="preserve">Modelo Juntos y Modelo Premium: </w:t>
      </w:r>
      <w:r>
        <w:rPr>
          <w:rFonts w:ascii="Calibri" w:cs="Calibri" w:eastAsia="Calibri" w:hAnsi="Calibri"/>
          <w:color w:val="101528"/>
          <w:sz w:val="22"/>
          <w:szCs w:val="22"/>
        </w:rPr>
        <w:t xml:space="preserve">las modalidades de participación en SANes descritas en los Términos y Condiciones Generales de TuTurno.</w:t>
      </w:r>
    </w:p>
    <w:p>
      <w:pPr>
        <w:spacing w:after="130" w:before="280"/>
      </w:pPr>
      <w:r>
        <w:rPr>
          <w:rFonts w:ascii="Calibri" w:cs="Calibri" w:eastAsia="Calibri" w:hAnsi="Calibri"/>
          <w:b/>
          <w:bCs/>
          <w:color w:val="0023D1"/>
          <w:sz w:val="27"/>
          <w:szCs w:val="27"/>
        </w:rPr>
        <w:t xml:space="preserve">3. Sistema de puntos</w:t>
      </w:r>
    </w:p>
    <w:p>
      <w:pPr>
        <w:spacing w:after="110"/>
      </w:pPr>
      <w:r>
        <w:rPr>
          <w:rFonts w:ascii="Calibri" w:cs="Calibri" w:eastAsia="Calibri" w:hAnsi="Calibri"/>
          <w:color w:val="101528"/>
          <w:sz w:val="22"/>
          <w:szCs w:val="22"/>
        </w:rPr>
        <w:t xml:space="preserve">3.1. Los puntos se generan exclusivamente por el pago de cuotas de SANes, conforme a la siguiente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00"/>
        <w:gridCol w:w="3060"/>
      </w:tblGrid>
      <w:tr>
        <w:tc>
          <w:tcPr>
            <w:tcW w:type="dxa" w:w="3400"/>
            <w:shd w:fill="0023D1" w:val="clear"/>
            <w:tcMar>
              <w:top w:type="dxa" w:w="80"/>
              <w:left w:type="dxa" w:w="120"/>
              <w:bottom w:type="dxa" w:w="80"/>
              <w:right w:type="dxa" w:w="120"/>
            </w:tcMar>
          </w:tcPr>
          <w:p>
            <w:r>
              <w:rPr>
                <w:rFonts w:ascii="Calibri" w:cs="Calibri" w:eastAsia="Calibri" w:hAnsi="Calibri"/>
                <w:b/>
                <w:bCs/>
                <w:color w:val="FFFFFF"/>
                <w:sz w:val="21"/>
                <w:szCs w:val="21"/>
              </w:rPr>
              <w:t xml:space="preserve">Evento de pago</w:t>
            </w:r>
          </w:p>
        </w:tc>
        <w:tc>
          <w:tcPr>
            <w:tcW w:type="dxa" w:w="2900"/>
            <w:shd w:fill="0023D1" w:val="clear"/>
            <w:tcMar>
              <w:top w:type="dxa" w:w="80"/>
              <w:left w:type="dxa" w:w="120"/>
              <w:bottom w:type="dxa" w:w="80"/>
              <w:right w:type="dxa" w:w="120"/>
            </w:tcMar>
          </w:tcPr>
          <w:p>
            <w:r>
              <w:rPr>
                <w:rFonts w:ascii="Calibri" w:cs="Calibri" w:eastAsia="Calibri" w:hAnsi="Calibri"/>
                <w:b/>
                <w:bCs/>
                <w:color w:val="FFFFFF"/>
                <w:sz w:val="21"/>
                <w:szCs w:val="21"/>
              </w:rPr>
              <w:t xml:space="preserve">Modelo Juntos</w:t>
            </w:r>
          </w:p>
        </w:tc>
        <w:tc>
          <w:tcPr>
            <w:tcW w:type="dxa" w:w="3060"/>
            <w:shd w:fill="0023D1" w:val="clear"/>
            <w:tcMar>
              <w:top w:type="dxa" w:w="80"/>
              <w:left w:type="dxa" w:w="120"/>
              <w:bottom w:type="dxa" w:w="80"/>
              <w:right w:type="dxa" w:w="120"/>
            </w:tcMar>
          </w:tcPr>
          <w:p>
            <w:r>
              <w:rPr>
                <w:rFonts w:ascii="Calibri" w:cs="Calibri" w:eastAsia="Calibri" w:hAnsi="Calibri"/>
                <w:b/>
                <w:bCs/>
                <w:color w:val="FFFFFF"/>
                <w:sz w:val="21"/>
                <w:szCs w:val="21"/>
              </w:rPr>
              <w:t xml:space="preserve">Modelo Premium</w:t>
            </w:r>
          </w:p>
        </w:tc>
      </w:tr>
      <w:tr>
        <w:tc>
          <w:tcPr>
            <w:tcW w:type="dxa" w:w="3400"/>
            <w:tcMar>
              <w:top w:type="dxa" w:w="80"/>
              <w:left w:type="dxa" w:w="120"/>
              <w:bottom w:type="dxa" w:w="80"/>
              <w:right w:type="dxa" w:w="120"/>
            </w:tcMar>
          </w:tcPr>
          <w:p>
            <w:r>
              <w:rPr>
                <w:rFonts w:ascii="Calibri" w:cs="Calibri" w:eastAsia="Calibri" w:hAnsi="Calibri"/>
                <w:b w:val="false"/>
                <w:bCs w:val="false"/>
                <w:color w:val="101528"/>
                <w:sz w:val="21"/>
                <w:szCs w:val="21"/>
              </w:rPr>
              <w:t xml:space="preserve">Pago en la fecha de vencimiento</w:t>
            </w:r>
          </w:p>
        </w:tc>
        <w:tc>
          <w:tcPr>
            <w:tcW w:type="dxa" w:w="2900"/>
            <w:tcMar>
              <w:top w:type="dxa" w:w="80"/>
              <w:left w:type="dxa" w:w="120"/>
              <w:bottom w:type="dxa" w:w="80"/>
              <w:right w:type="dxa" w:w="120"/>
            </w:tcMar>
          </w:tcPr>
          <w:p>
            <w:r>
              <w:rPr>
                <w:rFonts w:ascii="Calibri" w:cs="Calibri" w:eastAsia="Calibri" w:hAnsi="Calibri"/>
                <w:b w:val="false"/>
                <w:bCs w:val="false"/>
                <w:color w:val="101528"/>
                <w:sz w:val="21"/>
                <w:szCs w:val="21"/>
              </w:rPr>
              <w:t xml:space="preserve">2 puntos por dólar</w:t>
            </w:r>
          </w:p>
        </w:tc>
        <w:tc>
          <w:tcPr>
            <w:tcW w:type="dxa" w:w="3060"/>
            <w:tcMar>
              <w:top w:type="dxa" w:w="80"/>
              <w:left w:type="dxa" w:w="120"/>
              <w:bottom w:type="dxa" w:w="80"/>
              <w:right w:type="dxa" w:w="120"/>
            </w:tcMar>
          </w:tcPr>
          <w:p>
            <w:r>
              <w:rPr>
                <w:rFonts w:ascii="Calibri" w:cs="Calibri" w:eastAsia="Calibri" w:hAnsi="Calibri"/>
                <w:b w:val="false"/>
                <w:bCs w:val="false"/>
                <w:color w:val="101528"/>
                <w:sz w:val="21"/>
                <w:szCs w:val="21"/>
              </w:rPr>
              <w:t xml:space="preserve">1 punto por dólar</w:t>
            </w:r>
          </w:p>
        </w:tc>
      </w:tr>
      <w:tr>
        <w:tc>
          <w:tcPr>
            <w:tcW w:type="dxa" w:w="340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Pago temprano (antes de las 9:00 am del día de vencimiento, hora del sistema / pago anticipado según el modelo)</w:t>
            </w:r>
          </w:p>
        </w:tc>
        <w:tc>
          <w:tcPr>
            <w:tcW w:type="dxa" w:w="290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4 puntos por dólar</w:t>
            </w:r>
          </w:p>
        </w:tc>
        <w:tc>
          <w:tcPr>
            <w:tcW w:type="dxa" w:w="306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2 puntos por dólar</w:t>
            </w:r>
          </w:p>
        </w:tc>
      </w:tr>
      <w:tr>
        <w:tc>
          <w:tcPr>
            <w:tcW w:type="dxa" w:w="3400"/>
            <w:tcMar>
              <w:top w:type="dxa" w:w="80"/>
              <w:left w:type="dxa" w:w="120"/>
              <w:bottom w:type="dxa" w:w="80"/>
              <w:right w:type="dxa" w:w="120"/>
            </w:tcMar>
          </w:tcPr>
          <w:p>
            <w:r>
              <w:rPr>
                <w:rFonts w:ascii="Calibri" w:cs="Calibri" w:eastAsia="Calibri" w:hAnsi="Calibri"/>
                <w:b w:val="false"/>
                <w:bCs w:val="false"/>
                <w:color w:val="101528"/>
                <w:sz w:val="21"/>
                <w:szCs w:val="21"/>
              </w:rPr>
              <w:t xml:space="preserve">Pago posterior a la fecha de vencimiento</w:t>
            </w:r>
          </w:p>
        </w:tc>
        <w:tc>
          <w:tcPr>
            <w:tcW w:type="dxa" w:w="2900"/>
            <w:tcMar>
              <w:top w:type="dxa" w:w="80"/>
              <w:left w:type="dxa" w:w="120"/>
              <w:bottom w:type="dxa" w:w="80"/>
              <w:right w:type="dxa" w:w="120"/>
            </w:tcMar>
          </w:tcPr>
          <w:p>
            <w:r>
              <w:rPr>
                <w:rFonts w:ascii="Calibri" w:cs="Calibri" w:eastAsia="Calibri" w:hAnsi="Calibri"/>
                <w:b w:val="false"/>
                <w:bCs w:val="false"/>
                <w:color w:val="101528"/>
                <w:sz w:val="21"/>
                <w:szCs w:val="21"/>
              </w:rPr>
              <w:t xml:space="preserve">No genera puntos</w:t>
            </w:r>
          </w:p>
        </w:tc>
        <w:tc>
          <w:tcPr>
            <w:tcW w:type="dxa" w:w="3060"/>
            <w:tcMar>
              <w:top w:type="dxa" w:w="80"/>
              <w:left w:type="dxa" w:w="120"/>
              <w:bottom w:type="dxa" w:w="80"/>
              <w:right w:type="dxa" w:w="120"/>
            </w:tcMar>
          </w:tcPr>
          <w:p>
            <w:r>
              <w:rPr>
                <w:rFonts w:ascii="Calibri" w:cs="Calibri" w:eastAsia="Calibri" w:hAnsi="Calibri"/>
                <w:b w:val="false"/>
                <w:bCs w:val="false"/>
                <w:color w:val="101528"/>
                <w:sz w:val="21"/>
                <w:szCs w:val="21"/>
              </w:rPr>
              <w:t xml:space="preserve">No genera puntos</w:t>
            </w:r>
          </w:p>
        </w:tc>
      </w:tr>
    </w:tbl>
    <w:p>
      <w:pPr>
        <w:spacing w:after="80"/>
      </w:pPr>
    </w:p>
    <w:p>
      <w:pPr>
        <w:spacing w:after="110"/>
      </w:pPr>
      <w:r>
        <w:rPr>
          <w:rFonts w:ascii="Calibri" w:cs="Calibri" w:eastAsia="Calibri" w:hAnsi="Calibri"/>
          <w:color w:val="101528"/>
          <w:sz w:val="22"/>
          <w:szCs w:val="22"/>
        </w:rPr>
        <w:t xml:space="preserve">3.2. La hora válida para todos los efectos es la del registro de confirmación del pago en los sistemas de TuTurno.</w:t>
      </w:r>
    </w:p>
    <w:p>
      <w:pPr>
        <w:spacing w:after="110"/>
      </w:pPr>
      <w:r>
        <w:rPr>
          <w:rFonts w:ascii="Calibri" w:cs="Calibri" w:eastAsia="Calibri" w:hAnsi="Calibri"/>
          <w:color w:val="101528"/>
          <w:sz w:val="22"/>
          <w:szCs w:val="22"/>
        </w:rPr>
        <w:t xml:space="preserve">3.3. Los puntos no se deducen ni se restan bajo ninguna circunstancia. El pago realizado fuera de fecha no genera puntos, sin que ello implique deducción alguna de los puntos ya acumulados.</w:t>
      </w:r>
    </w:p>
    <w:p>
      <w:pPr>
        <w:spacing w:after="110"/>
      </w:pPr>
      <w:r>
        <w:rPr>
          <w:rFonts w:ascii="Calibri" w:cs="Calibri" w:eastAsia="Calibri" w:hAnsi="Calibri"/>
          <w:color w:val="101528"/>
          <w:sz w:val="22"/>
          <w:szCs w:val="22"/>
        </w:rPr>
        <w:t xml:space="preserve">3.4. Los puntos carecen de valor monetario, no son canjeables por dinero, no son transferibles entre usuarios y no constituyen instrumento financiero alguno.</w:t>
      </w:r>
    </w:p>
    <w:p>
      <w:pPr>
        <w:spacing w:after="130" w:before="280"/>
      </w:pPr>
      <w:r>
        <w:rPr>
          <w:rFonts w:ascii="Calibri" w:cs="Calibri" w:eastAsia="Calibri" w:hAnsi="Calibri"/>
          <w:b/>
          <w:bCs/>
          <w:color w:val="0023D1"/>
          <w:sz w:val="27"/>
          <w:szCs w:val="27"/>
        </w:rPr>
        <w:t xml:space="preserve">4. Medallas y montos</w:t>
      </w:r>
    </w:p>
    <w:p>
      <w:pPr>
        <w:spacing w:after="110"/>
      </w:pPr>
      <w:r>
        <w:rPr>
          <w:rFonts w:ascii="Calibri" w:cs="Calibri" w:eastAsia="Calibri" w:hAnsi="Calibri"/>
          <w:color w:val="101528"/>
          <w:sz w:val="22"/>
          <w:szCs w:val="22"/>
        </w:rPr>
        <w:t xml:space="preserve">4.1. La medalla del usuario se determina por sus puntos acumulados, conforme a la siguiente escala: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shd w:fill="0023D1" w:val="clear"/>
            <w:tcMar>
              <w:top w:type="dxa" w:w="80"/>
              <w:left w:type="dxa" w:w="120"/>
              <w:bottom w:type="dxa" w:w="80"/>
              <w:right w:type="dxa" w:w="120"/>
            </w:tcMar>
          </w:tcPr>
          <w:p>
            <w:r>
              <w:rPr>
                <w:rFonts w:ascii="Calibri" w:cs="Calibri" w:eastAsia="Calibri" w:hAnsi="Calibri"/>
                <w:b/>
                <w:bCs/>
                <w:color w:val="FFFFFF"/>
                <w:sz w:val="21"/>
                <w:szCs w:val="21"/>
              </w:rPr>
              <w:t xml:space="preserve">Medalla</w:t>
            </w:r>
          </w:p>
        </w:tc>
        <w:tc>
          <w:tcPr>
            <w:tcW w:type="dxa" w:w="2600"/>
            <w:shd w:fill="0023D1" w:val="clear"/>
            <w:tcMar>
              <w:top w:type="dxa" w:w="80"/>
              <w:left w:type="dxa" w:w="120"/>
              <w:bottom w:type="dxa" w:w="80"/>
              <w:right w:type="dxa" w:w="120"/>
            </w:tcMar>
          </w:tcPr>
          <w:p>
            <w:r>
              <w:rPr>
                <w:rFonts w:ascii="Calibri" w:cs="Calibri" w:eastAsia="Calibri" w:hAnsi="Calibri"/>
                <w:b/>
                <w:bCs/>
                <w:color w:val="FFFFFF"/>
                <w:sz w:val="21"/>
                <w:szCs w:val="21"/>
              </w:rPr>
              <w:t xml:space="preserve">Puntos</w:t>
            </w:r>
          </w:p>
        </w:tc>
        <w:tc>
          <w:tcPr>
            <w:tcW w:type="dxa" w:w="4360"/>
            <w:shd w:fill="0023D1" w:val="clear"/>
            <w:tcMar>
              <w:top w:type="dxa" w:w="80"/>
              <w:left w:type="dxa" w:w="120"/>
              <w:bottom w:type="dxa" w:w="80"/>
              <w:right w:type="dxa" w:w="120"/>
            </w:tcMar>
          </w:tcPr>
          <w:p>
            <w:r>
              <w:rPr>
                <w:rFonts w:ascii="Calibri" w:cs="Calibri" w:eastAsia="Calibri" w:hAnsi="Calibri"/>
                <w:b/>
                <w:bCs/>
                <w:color w:val="FFFFFF"/>
                <w:sz w:val="21"/>
                <w:szCs w:val="21"/>
              </w:rPr>
              <w:t xml:space="preserve">Monto máximo por SAN</w:t>
            </w:r>
          </w:p>
        </w:tc>
      </w:tr>
      <w:tr>
        <w:tc>
          <w:tcPr>
            <w:tcW w:type="dxa" w:w="2400"/>
            <w:tcMar>
              <w:top w:type="dxa" w:w="80"/>
              <w:left w:type="dxa" w:w="120"/>
              <w:bottom w:type="dxa" w:w="80"/>
              <w:right w:type="dxa" w:w="120"/>
            </w:tcMar>
          </w:tcPr>
          <w:p>
            <w:r>
              <w:rPr>
                <w:rFonts w:ascii="Calibri" w:cs="Calibri" w:eastAsia="Calibri" w:hAnsi="Calibri"/>
                <w:b w:val="false"/>
                <w:bCs w:val="false"/>
                <w:color w:val="101528"/>
                <w:sz w:val="21"/>
                <w:szCs w:val="21"/>
              </w:rPr>
              <w:t xml:space="preserve">Bronce</w:t>
            </w:r>
          </w:p>
        </w:tc>
        <w:tc>
          <w:tcPr>
            <w:tcW w:type="dxa" w:w="2600"/>
            <w:tcMar>
              <w:top w:type="dxa" w:w="80"/>
              <w:left w:type="dxa" w:w="120"/>
              <w:bottom w:type="dxa" w:w="80"/>
              <w:right w:type="dxa" w:w="120"/>
            </w:tcMar>
          </w:tcPr>
          <w:p>
            <w:r>
              <w:rPr>
                <w:rFonts w:ascii="Calibri" w:cs="Calibri" w:eastAsia="Calibri" w:hAnsi="Calibri"/>
                <w:b w:val="false"/>
                <w:bCs w:val="false"/>
                <w:color w:val="101528"/>
                <w:sz w:val="21"/>
                <w:szCs w:val="21"/>
              </w:rPr>
              <w:t xml:space="preserve">0 – 299</w:t>
            </w:r>
          </w:p>
        </w:tc>
        <w:tc>
          <w:tcPr>
            <w:tcW w:type="dxa" w:w="4360"/>
            <w:tcMar>
              <w:top w:type="dxa" w:w="80"/>
              <w:left w:type="dxa" w:w="120"/>
              <w:bottom w:type="dxa" w:w="80"/>
              <w:right w:type="dxa" w:w="120"/>
            </w:tcMar>
          </w:tcPr>
          <w:p>
            <w:r>
              <w:rPr>
                <w:rFonts w:ascii="Calibri" w:cs="Calibri" w:eastAsia="Calibri" w:hAnsi="Calibri"/>
                <w:b w:val="false"/>
                <w:bCs w:val="false"/>
                <w:color w:val="101528"/>
                <w:sz w:val="21"/>
                <w:szCs w:val="21"/>
              </w:rPr>
              <w:t xml:space="preserve">Hasta $100</w:t>
            </w:r>
          </w:p>
        </w:tc>
      </w:tr>
      <w:tr>
        <w:tc>
          <w:tcPr>
            <w:tcW w:type="dxa" w:w="240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Plata</w:t>
            </w:r>
          </w:p>
        </w:tc>
        <w:tc>
          <w:tcPr>
            <w:tcW w:type="dxa" w:w="260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300 – 799</w:t>
            </w:r>
          </w:p>
        </w:tc>
        <w:tc>
          <w:tcPr>
            <w:tcW w:type="dxa" w:w="436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Hasta $200</w:t>
            </w:r>
          </w:p>
        </w:tc>
      </w:tr>
      <w:tr>
        <w:tc>
          <w:tcPr>
            <w:tcW w:type="dxa" w:w="2400"/>
            <w:tcMar>
              <w:top w:type="dxa" w:w="80"/>
              <w:left w:type="dxa" w:w="120"/>
              <w:bottom w:type="dxa" w:w="80"/>
              <w:right w:type="dxa" w:w="120"/>
            </w:tcMar>
          </w:tcPr>
          <w:p>
            <w:r>
              <w:rPr>
                <w:rFonts w:ascii="Calibri" w:cs="Calibri" w:eastAsia="Calibri" w:hAnsi="Calibri"/>
                <w:b w:val="false"/>
                <w:bCs w:val="false"/>
                <w:color w:val="101528"/>
                <w:sz w:val="21"/>
                <w:szCs w:val="21"/>
              </w:rPr>
              <w:t xml:space="preserve">Oro</w:t>
            </w:r>
          </w:p>
        </w:tc>
        <w:tc>
          <w:tcPr>
            <w:tcW w:type="dxa" w:w="2600"/>
            <w:tcMar>
              <w:top w:type="dxa" w:w="80"/>
              <w:left w:type="dxa" w:w="120"/>
              <w:bottom w:type="dxa" w:w="80"/>
              <w:right w:type="dxa" w:w="120"/>
            </w:tcMar>
          </w:tcPr>
          <w:p>
            <w:r>
              <w:rPr>
                <w:rFonts w:ascii="Calibri" w:cs="Calibri" w:eastAsia="Calibri" w:hAnsi="Calibri"/>
                <w:b w:val="false"/>
                <w:bCs w:val="false"/>
                <w:color w:val="101528"/>
                <w:sz w:val="21"/>
                <w:szCs w:val="21"/>
              </w:rPr>
              <w:t xml:space="preserve">800 – 1.499</w:t>
            </w:r>
          </w:p>
        </w:tc>
        <w:tc>
          <w:tcPr>
            <w:tcW w:type="dxa" w:w="4360"/>
            <w:tcMar>
              <w:top w:type="dxa" w:w="80"/>
              <w:left w:type="dxa" w:w="120"/>
              <w:bottom w:type="dxa" w:w="80"/>
              <w:right w:type="dxa" w:w="120"/>
            </w:tcMar>
          </w:tcPr>
          <w:p>
            <w:r>
              <w:rPr>
                <w:rFonts w:ascii="Calibri" w:cs="Calibri" w:eastAsia="Calibri" w:hAnsi="Calibri"/>
                <w:b w:val="false"/>
                <w:bCs w:val="false"/>
                <w:color w:val="101528"/>
                <w:sz w:val="21"/>
                <w:szCs w:val="21"/>
              </w:rPr>
              <w:t xml:space="preserve">Hasta $300</w:t>
            </w:r>
          </w:p>
        </w:tc>
      </w:tr>
      <w:tr>
        <w:tc>
          <w:tcPr>
            <w:tcW w:type="dxa" w:w="240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Diamante</w:t>
            </w:r>
          </w:p>
        </w:tc>
        <w:tc>
          <w:tcPr>
            <w:tcW w:type="dxa" w:w="260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1.500 en adelante</w:t>
            </w:r>
          </w:p>
        </w:tc>
        <w:tc>
          <w:tcPr>
            <w:tcW w:type="dxa" w:w="436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Desde $400, conforme a la cláusula 7</w:t>
            </w:r>
          </w:p>
        </w:tc>
      </w:tr>
    </w:tbl>
    <w:p>
      <w:pPr>
        <w:spacing w:after="80"/>
      </w:pPr>
    </w:p>
    <w:p>
      <w:pPr>
        <w:spacing w:after="110"/>
      </w:pPr>
      <w:r>
        <w:rPr>
          <w:rFonts w:ascii="Calibri" w:cs="Calibri" w:eastAsia="Calibri" w:hAnsi="Calibri"/>
          <w:color w:val="101528"/>
          <w:sz w:val="22"/>
          <w:szCs w:val="22"/>
        </w:rPr>
        <w:t xml:space="preserve">4.2. La medalla alcanzada es permanente: no se pierde ni retrocede por inactividad, mora ni ninguna otra circunstancia.</w:t>
      </w:r>
    </w:p>
    <w:p>
      <w:pPr>
        <w:spacing w:after="110"/>
      </w:pPr>
      <w:r>
        <w:rPr>
          <w:rFonts w:ascii="Calibri" w:cs="Calibri" w:eastAsia="Calibri" w:hAnsi="Calibri"/>
          <w:color w:val="101528"/>
          <w:sz w:val="22"/>
          <w:szCs w:val="22"/>
        </w:rPr>
        <w:t xml:space="preserve">4.3. Los montos se expresan en la moneda de referencia del país del usuario, conforme a la cláusula 10.</w:t>
      </w:r>
    </w:p>
    <w:p>
      <w:pPr>
        <w:spacing w:after="130" w:before="280"/>
      </w:pPr>
      <w:r>
        <w:rPr>
          <w:rFonts w:ascii="Calibri" w:cs="Calibri" w:eastAsia="Calibri" w:hAnsi="Calibri"/>
          <w:b/>
          <w:bCs/>
          <w:color w:val="0023D1"/>
          <w:sz w:val="27"/>
          <w:szCs w:val="27"/>
        </w:rPr>
        <w:t xml:space="preserve">5. Beneficios por racha de SANes Perfectos</w:t>
      </w:r>
    </w:p>
    <w:p>
      <w:pPr>
        <w:spacing w:after="110"/>
      </w:pPr>
      <w:r>
        <w:rPr>
          <w:rFonts w:ascii="Calibri" w:cs="Calibri" w:eastAsia="Calibri" w:hAnsi="Calibri"/>
          <w:color w:val="101528"/>
          <w:sz w:val="22"/>
          <w:szCs w:val="22"/>
        </w:rPr>
        <w:t xml:space="preserve">5.1. La racha de SANes Perfectos consecutivos habilita los siguientes beneficios: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shd w:fill="0023D1" w:val="clear"/>
            <w:tcMar>
              <w:top w:type="dxa" w:w="80"/>
              <w:left w:type="dxa" w:w="120"/>
              <w:bottom w:type="dxa" w:w="80"/>
              <w:right w:type="dxa" w:w="120"/>
            </w:tcMar>
          </w:tcPr>
          <w:p>
            <w:r>
              <w:rPr>
                <w:rFonts w:ascii="Calibri" w:cs="Calibri" w:eastAsia="Calibri" w:hAnsi="Calibri"/>
                <w:b/>
                <w:bCs/>
                <w:color w:val="FFFFFF"/>
                <w:sz w:val="21"/>
                <w:szCs w:val="21"/>
              </w:rPr>
              <w:t xml:space="preserve">Racha</w:t>
            </w:r>
          </w:p>
        </w:tc>
        <w:tc>
          <w:tcPr>
            <w:tcW w:type="dxa" w:w="5560"/>
            <w:shd w:fill="0023D1" w:val="clear"/>
            <w:tcMar>
              <w:top w:type="dxa" w:w="80"/>
              <w:left w:type="dxa" w:w="120"/>
              <w:bottom w:type="dxa" w:w="80"/>
              <w:right w:type="dxa" w:w="120"/>
            </w:tcMar>
          </w:tcPr>
          <w:p>
            <w:r>
              <w:rPr>
                <w:rFonts w:ascii="Calibri" w:cs="Calibri" w:eastAsia="Calibri" w:hAnsi="Calibri"/>
                <w:b/>
                <w:bCs/>
                <w:color w:val="FFFFFF"/>
                <w:sz w:val="21"/>
                <w:szCs w:val="21"/>
              </w:rPr>
              <w:t xml:space="preserve">Beneficio</w:t>
            </w:r>
          </w:p>
        </w:tc>
      </w:tr>
      <w:tr>
        <w:tc>
          <w:tcPr>
            <w:tcW w:type="dxa" w:w="3800"/>
            <w:tcMar>
              <w:top w:type="dxa" w:w="80"/>
              <w:left w:type="dxa" w:w="120"/>
              <w:bottom w:type="dxa" w:w="80"/>
              <w:right w:type="dxa" w:w="120"/>
            </w:tcMar>
          </w:tcPr>
          <w:p>
            <w:r>
              <w:rPr>
                <w:rFonts w:ascii="Calibri" w:cs="Calibri" w:eastAsia="Calibri" w:hAnsi="Calibri"/>
                <w:b w:val="false"/>
                <w:bCs w:val="false"/>
                <w:color w:val="101528"/>
                <w:sz w:val="21"/>
                <w:szCs w:val="21"/>
              </w:rPr>
              <w:t xml:space="preserve">3 SANes Perfectos consecutivos</w:t>
            </w:r>
          </w:p>
        </w:tc>
        <w:tc>
          <w:tcPr>
            <w:tcW w:type="dxa" w:w="5560"/>
            <w:tcMar>
              <w:top w:type="dxa" w:w="80"/>
              <w:left w:type="dxa" w:w="120"/>
              <w:bottom w:type="dxa" w:w="80"/>
              <w:right w:type="dxa" w:w="120"/>
            </w:tcMar>
          </w:tcPr>
          <w:p>
            <w:r>
              <w:rPr>
                <w:rFonts w:ascii="Calibri" w:cs="Calibri" w:eastAsia="Calibri" w:hAnsi="Calibri"/>
                <w:b w:val="false"/>
                <w:bCs w:val="false"/>
                <w:color w:val="101528"/>
                <w:sz w:val="21"/>
                <w:szCs w:val="21"/>
              </w:rPr>
              <w:t xml:space="preserve">Participación en hasta 2 SANes simultáneos</w:t>
            </w:r>
          </w:p>
        </w:tc>
      </w:tr>
      <w:tr>
        <w:tc>
          <w:tcPr>
            <w:tcW w:type="dxa" w:w="380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6 SANes Perfectos consecutivos</w:t>
            </w:r>
          </w:p>
        </w:tc>
        <w:tc>
          <w:tcPr>
            <w:tcW w:type="dxa" w:w="5560"/>
            <w:shd w:fill="F5F7FF" w:val="clear"/>
            <w:tcMar>
              <w:top w:type="dxa" w:w="80"/>
              <w:left w:type="dxa" w:w="120"/>
              <w:bottom w:type="dxa" w:w="80"/>
              <w:right w:type="dxa" w:w="120"/>
            </w:tcMar>
          </w:tcPr>
          <w:p>
            <w:r>
              <w:rPr>
                <w:rFonts w:ascii="Calibri" w:cs="Calibri" w:eastAsia="Calibri" w:hAnsi="Calibri"/>
                <w:b w:val="false"/>
                <w:bCs w:val="false"/>
                <w:color w:val="101528"/>
                <w:sz w:val="21"/>
                <w:szCs w:val="21"/>
              </w:rPr>
              <w:t xml:space="preserve">Participación en hasta 3 SANes simultáneos</w:t>
            </w:r>
          </w:p>
        </w:tc>
      </w:tr>
      <w:tr>
        <w:tc>
          <w:tcPr>
            <w:tcW w:type="dxa" w:w="3800"/>
            <w:tcMar>
              <w:top w:type="dxa" w:w="80"/>
              <w:left w:type="dxa" w:w="120"/>
              <w:bottom w:type="dxa" w:w="80"/>
              <w:right w:type="dxa" w:w="120"/>
            </w:tcMar>
          </w:tcPr>
          <w:p>
            <w:r>
              <w:rPr>
                <w:rFonts w:ascii="Calibri" w:cs="Calibri" w:eastAsia="Calibri" w:hAnsi="Calibri"/>
                <w:b w:val="false"/>
                <w:bCs w:val="false"/>
                <w:color w:val="101528"/>
                <w:sz w:val="21"/>
                <w:szCs w:val="21"/>
              </w:rPr>
              <w:t xml:space="preserve">12 SANes Perfectos consecutivos</w:t>
            </w:r>
          </w:p>
        </w:tc>
        <w:tc>
          <w:tcPr>
            <w:tcW w:type="dxa" w:w="5560"/>
            <w:tcMar>
              <w:top w:type="dxa" w:w="80"/>
              <w:left w:type="dxa" w:w="120"/>
              <w:bottom w:type="dxa" w:w="80"/>
              <w:right w:type="dxa" w:w="120"/>
            </w:tcMar>
          </w:tcPr>
          <w:p>
            <w:r>
              <w:rPr>
                <w:rFonts w:ascii="Calibri" w:cs="Calibri" w:eastAsia="Calibri" w:hAnsi="Calibri"/>
                <w:b w:val="false"/>
                <w:bCs w:val="false"/>
                <w:color w:val="101528"/>
                <w:sz w:val="21"/>
                <w:szCs w:val="21"/>
              </w:rPr>
              <w:t xml:space="preserve">Participación en hasta 4 SANes simultáneos y exoneración de la comisión de servicio en un (1) SAN del Modelo Juntos, conforme a la cláusula 6</w:t>
            </w:r>
          </w:p>
        </w:tc>
      </w:tr>
    </w:tbl>
    <w:p>
      <w:pPr>
        <w:spacing w:after="80"/>
      </w:pPr>
    </w:p>
    <w:p>
      <w:pPr>
        <w:spacing w:after="130" w:before="280"/>
      </w:pPr>
      <w:r>
        <w:rPr>
          <w:rFonts w:ascii="Calibri" w:cs="Calibri" w:eastAsia="Calibri" w:hAnsi="Calibri"/>
          <w:b/>
          <w:bCs/>
          <w:color w:val="0023D1"/>
          <w:sz w:val="27"/>
          <w:szCs w:val="27"/>
        </w:rPr>
        <w:t xml:space="preserve">6. Exoneración de comisión (beneficio Diamante)</w:t>
      </w:r>
    </w:p>
    <w:p>
      <w:pPr>
        <w:spacing w:after="110"/>
      </w:pPr>
      <w:r>
        <w:rPr>
          <w:rFonts w:ascii="Calibri" w:cs="Calibri" w:eastAsia="Calibri" w:hAnsi="Calibri"/>
          <w:color w:val="101528"/>
          <w:sz w:val="22"/>
          <w:szCs w:val="22"/>
        </w:rPr>
        <w:t xml:space="preserve">6.1. El usuario con racha activa de 12 SANes Perfectos queda exonerado de la comisión de servicio de TuTurno en un (1) SAN activo a la vez, exclusivamente en el Modelo Juntos. Los demás SANes del usuario pagan la comisión de servicio vigente. En el Modelo Premium no aplica exoneración alguna.</w:t>
      </w:r>
    </w:p>
    <w:p>
      <w:pPr>
        <w:spacing w:after="110"/>
      </w:pPr>
      <w:r>
        <w:rPr>
          <w:rFonts w:ascii="Calibri" w:cs="Calibri" w:eastAsia="Calibri" w:hAnsi="Calibri"/>
          <w:color w:val="101528"/>
          <w:sz w:val="22"/>
          <w:szCs w:val="22"/>
        </w:rPr>
        <w:t xml:space="preserve">6.2. La exoneración se asigna automáticamente al primer SAN que el usuario abra con el beneficio activo. Al culminar dicho SAN, el siguiente SAN que abra hereda la exoneración, siempre que la racha de 12 SANes Perfectos se mantenga activa.</w:t>
      </w:r>
    </w:p>
    <w:p>
      <w:pPr>
        <w:spacing w:after="110"/>
      </w:pPr>
      <w:r>
        <w:rPr>
          <w:rFonts w:ascii="Calibri" w:cs="Calibri" w:eastAsia="Calibri" w:hAnsi="Calibri"/>
          <w:color w:val="101528"/>
          <w:sz w:val="22"/>
          <w:szCs w:val="22"/>
        </w:rPr>
        <w:t xml:space="preserve">6.3. Las condiciones de comisión de un SAN se fijan al momento de su apertura y no se modifican durante su vigencia. Un SAN iniciado con exoneración culmina con exoneración.</w:t>
      </w:r>
    </w:p>
    <w:p>
      <w:pPr>
        <w:spacing w:after="110"/>
      </w:pPr>
      <w:r>
        <w:rPr>
          <w:rFonts w:ascii="Calibri" w:cs="Calibri" w:eastAsia="Calibri" w:hAnsi="Calibri"/>
          <w:color w:val="101528"/>
          <w:sz w:val="22"/>
          <w:szCs w:val="22"/>
        </w:rPr>
        <w:t xml:space="preserve">6.4. La exoneración se mantiene mientras el comportamiento de pago del usuario sea perfecto. La exoneración recae únicamente sobre la comisión de servicio de TuTurno y en ningún caso sobre la obligación del usuario de pagar las cuotas del SAN, que subsiste íntegra en todos los casos.</w:t>
      </w:r>
    </w:p>
    <w:p>
      <w:pPr>
        <w:spacing w:after="130" w:before="280"/>
      </w:pPr>
      <w:r>
        <w:rPr>
          <w:rFonts w:ascii="Calibri" w:cs="Calibri" w:eastAsia="Calibri" w:hAnsi="Calibri"/>
          <w:b/>
          <w:bCs/>
          <w:color w:val="0023D1"/>
          <w:sz w:val="27"/>
          <w:szCs w:val="27"/>
        </w:rPr>
        <w:t xml:space="preserve">7. Escalera de montos (Diamante)</w:t>
      </w:r>
    </w:p>
    <w:p>
      <w:pPr>
        <w:spacing w:after="110"/>
      </w:pPr>
      <w:r>
        <w:rPr>
          <w:rFonts w:ascii="Calibri" w:cs="Calibri" w:eastAsia="Calibri" w:hAnsi="Calibri"/>
          <w:color w:val="101528"/>
          <w:sz w:val="22"/>
          <w:szCs w:val="22"/>
        </w:rPr>
        <w:t xml:space="preserve">7.1. El usuario Diamante accede a montos superiores completando 2 SANes de su monto máximo vigente, pagados en su totalidad y sin mora, lo que habilita el siguiente tramo de $100, desde $400 y hasta $1.000.</w:t>
      </w:r>
    </w:p>
    <w:p>
      <w:pPr>
        <w:spacing w:after="110"/>
      </w:pPr>
      <w:r>
        <w:rPr>
          <w:rFonts w:ascii="Calibri" w:cs="Calibri" w:eastAsia="Calibri" w:hAnsi="Calibri"/>
          <w:color w:val="101528"/>
          <w:sz w:val="22"/>
          <w:szCs w:val="22"/>
        </w:rPr>
        <w:t xml:space="preserve">7.2. El cómputo es acumulado: los SANes completados válidos no se pierden por episodios de mora posteriores. Solo computan los SANes del monto máximo vigente del usuario.</w:t>
      </w:r>
    </w:p>
    <w:p>
      <w:pPr>
        <w:spacing w:after="110"/>
      </w:pPr>
      <w:r>
        <w:rPr>
          <w:rFonts w:ascii="Calibri" w:cs="Calibri" w:eastAsia="Calibri" w:hAnsi="Calibri"/>
          <w:color w:val="101528"/>
          <w:sz w:val="22"/>
          <w:szCs w:val="22"/>
        </w:rPr>
        <w:t xml:space="preserve">7.3. El monto habilitado es permanente y no retrocede.</w:t>
      </w:r>
    </w:p>
    <w:p>
      <w:pPr>
        <w:spacing w:after="130" w:before="280"/>
      </w:pPr>
      <w:r>
        <w:rPr>
          <w:rFonts w:ascii="Calibri" w:cs="Calibri" w:eastAsia="Calibri" w:hAnsi="Calibri"/>
          <w:b/>
          <w:bCs/>
          <w:color w:val="0023D1"/>
          <w:sz w:val="27"/>
          <w:szCs w:val="27"/>
        </w:rPr>
        <w:t xml:space="preserve">8. Incumplimiento y mora</w:t>
      </w:r>
    </w:p>
    <w:p>
      <w:pPr>
        <w:spacing w:after="110"/>
      </w:pPr>
      <w:r>
        <w:rPr>
          <w:rFonts w:ascii="Calibri" w:cs="Calibri" w:eastAsia="Calibri" w:hAnsi="Calibri"/>
          <w:color w:val="101528"/>
          <w:sz w:val="22"/>
          <w:szCs w:val="22"/>
        </w:rPr>
        <w:t xml:space="preserve">8.1. Cada episodio de mora reduce la racha del usuario en un (1) escalón: de 12 a 6, de 6 a 3, de 3 al nivel base. Un mismo episodio nunca reduce más de un escalón, con independencia del número de cuotas vencidas dentro de él. Episodios sucesivos reducen escalones sucesivos.</w:t>
      </w:r>
    </w:p>
    <w:p>
      <w:pPr>
        <w:spacing w:after="110"/>
      </w:pPr>
      <w:r>
        <w:rPr>
          <w:rFonts w:ascii="Calibri" w:cs="Calibri" w:eastAsia="Calibri" w:hAnsi="Calibri"/>
          <w:color w:val="101528"/>
          <w:sz w:val="22"/>
          <w:szCs w:val="22"/>
        </w:rPr>
        <w:t xml:space="preserve">8.2. El avance parcial hacia el siguiente escalón se pierde con el episodio de mora, por tratarse de una racha consecutiva.</w:t>
      </w:r>
    </w:p>
    <w:p>
      <w:pPr>
        <w:spacing w:after="110"/>
      </w:pPr>
      <w:r>
        <w:rPr>
          <w:rFonts w:ascii="Calibri" w:cs="Calibri" w:eastAsia="Calibri" w:hAnsi="Calibri"/>
          <w:color w:val="101528"/>
          <w:sz w:val="22"/>
          <w:szCs w:val="22"/>
        </w:rPr>
        <w:t xml:space="preserve">8.3. Durante un episodio de mora, el usuario no puede incorporarse a SANes nuevos, en ningún nivel. Los SANes en curso continúan conforme a sus condiciones. La restricción cesa al regularizar la totalidad de cuotas vencidas y recargos.</w:t>
      </w:r>
    </w:p>
    <w:p>
      <w:pPr>
        <w:spacing w:after="110"/>
      </w:pPr>
      <w:r>
        <w:rPr>
          <w:rFonts w:ascii="Calibri" w:cs="Calibri" w:eastAsia="Calibri" w:hAnsi="Calibri"/>
          <w:color w:val="101528"/>
          <w:sz w:val="22"/>
          <w:szCs w:val="22"/>
        </w:rPr>
        <w:t xml:space="preserve">8.4. La mora genera el Recargo por Gestión de Cobranza conforme a los Términos y Condiciones Generales. La mora no reduce puntos ni afecta la medalla del usuario.</w:t>
      </w:r>
    </w:p>
    <w:p>
      <w:pPr>
        <w:spacing w:after="110"/>
      </w:pPr>
      <w:r>
        <w:rPr>
          <w:rFonts w:ascii="Calibri" w:cs="Calibri" w:eastAsia="Calibri" w:hAnsi="Calibri"/>
          <w:color w:val="101528"/>
          <w:sz w:val="22"/>
          <w:szCs w:val="22"/>
        </w:rPr>
        <w:t xml:space="preserve">8.5. Perdida la exoneración por caída de la racha, el usuario la recupera al completar 6 SANes Perfectos consecutivos.</w:t>
      </w:r>
    </w:p>
    <w:p>
      <w:pPr>
        <w:spacing w:after="130" w:before="280"/>
      </w:pPr>
      <w:r>
        <w:rPr>
          <w:rFonts w:ascii="Calibri" w:cs="Calibri" w:eastAsia="Calibri" w:hAnsi="Calibri"/>
          <w:b/>
          <w:bCs/>
          <w:color w:val="0023D1"/>
          <w:sz w:val="27"/>
          <w:szCs w:val="27"/>
        </w:rPr>
        <w:t xml:space="preserve">9. Vigencia de los puntos</w:t>
      </w:r>
    </w:p>
    <w:p>
      <w:pPr>
        <w:spacing w:after="110"/>
      </w:pPr>
      <w:r>
        <w:rPr>
          <w:rFonts w:ascii="Calibri" w:cs="Calibri" w:eastAsia="Calibri" w:hAnsi="Calibri"/>
          <w:color w:val="101528"/>
          <w:sz w:val="22"/>
          <w:szCs w:val="22"/>
        </w:rPr>
        <w:t xml:space="preserve">9.1. Los puntos vencen tras 6 meses continuos de inactividad del usuario (sin participación en SANes y sin inicio de sesión en la aplicación). El vencimiento de puntos no afecta la medalla alcanzada, que se conserva en todos los casos.</w:t>
      </w:r>
    </w:p>
    <w:p>
      <w:pPr>
        <w:spacing w:after="130" w:before="280"/>
      </w:pPr>
      <w:r>
        <w:rPr>
          <w:rFonts w:ascii="Calibri" w:cs="Calibri" w:eastAsia="Calibri" w:hAnsi="Calibri"/>
          <w:b/>
          <w:bCs/>
          <w:color w:val="0023D1"/>
          <w:sz w:val="27"/>
          <w:szCs w:val="27"/>
        </w:rPr>
        <w:t xml:space="preserve">10. Alcance territorial y moneda</w:t>
      </w:r>
    </w:p>
    <w:p>
      <w:pPr>
        <w:spacing w:after="110"/>
      </w:pPr>
      <w:r>
        <w:rPr>
          <w:rFonts w:ascii="Calibri" w:cs="Calibri" w:eastAsia="Calibri" w:hAnsi="Calibri"/>
          <w:color w:val="101528"/>
          <w:sz w:val="22"/>
          <w:szCs w:val="22"/>
        </w:rPr>
        <w:t xml:space="preserve">10.1. El Club aplica en todos los países donde opera TuTurno. Los montos, tramos y equivalencias de puntos se expresan y calculan en la moneda de referencia definida para cada país.</w:t>
      </w:r>
    </w:p>
    <w:p>
      <w:pPr>
        <w:spacing w:after="130" w:before="280"/>
      </w:pPr>
      <w:r>
        <w:rPr>
          <w:rFonts w:ascii="Calibri" w:cs="Calibri" w:eastAsia="Calibri" w:hAnsi="Calibri"/>
          <w:b/>
          <w:bCs/>
          <w:color w:val="0023D1"/>
          <w:sz w:val="27"/>
          <w:szCs w:val="27"/>
        </w:rPr>
        <w:t xml:space="preserve">11. Programa de referidos</w:t>
      </w:r>
    </w:p>
    <w:p>
      <w:pPr>
        <w:spacing w:after="110"/>
      </w:pPr>
      <w:r>
        <w:rPr>
          <w:rFonts w:ascii="Calibri" w:cs="Calibri" w:eastAsia="Calibri" w:hAnsi="Calibri"/>
          <w:color w:val="101528"/>
          <w:sz w:val="22"/>
          <w:szCs w:val="22"/>
        </w:rPr>
        <w:t xml:space="preserve">11.1. El programa de referidos de TuTurno es independiente del Club: no otorga puntos ni afecta medallas ni rachas, y se rige por sus propios términos y condiciones.</w:t>
      </w:r>
    </w:p>
    <w:p>
      <w:pPr>
        <w:spacing w:after="130" w:before="280"/>
      </w:pPr>
      <w:r>
        <w:rPr>
          <w:rFonts w:ascii="Calibri" w:cs="Calibri" w:eastAsia="Calibri" w:hAnsi="Calibri"/>
          <w:b/>
          <w:bCs/>
          <w:color w:val="0023D1"/>
          <w:sz w:val="27"/>
          <w:szCs w:val="27"/>
        </w:rPr>
        <w:t xml:space="preserve">12. Modificaciones</w:t>
      </w:r>
    </w:p>
    <w:p>
      <w:pPr>
        <w:spacing w:after="110"/>
      </w:pPr>
      <w:r>
        <w:rPr>
          <w:rFonts w:ascii="Calibri" w:cs="Calibri" w:eastAsia="Calibri" w:hAnsi="Calibri"/>
          <w:color w:val="101528"/>
          <w:sz w:val="22"/>
          <w:szCs w:val="22"/>
        </w:rPr>
        <w:t xml:space="preserve">12.1. TuTurno podrá modificar las reglas del Club notificando a los usuarios a través de la aplicación con antelación razonable. Las modificaciones no afectarán las medallas alcanzadas, los puntos acumulados ni los montos ya habilitados de los usuarios al momento de su entrada en vigencia.</w:t>
      </w:r>
    </w:p>
    <w:p>
      <w:pPr>
        <w:spacing w:after="130" w:before="280"/>
      </w:pPr>
      <w:r>
        <w:rPr>
          <w:rFonts w:ascii="Calibri" w:cs="Calibri" w:eastAsia="Calibri" w:hAnsi="Calibri"/>
          <w:b/>
          <w:bCs/>
          <w:color w:val="0023D1"/>
          <w:sz w:val="27"/>
          <w:szCs w:val="27"/>
        </w:rPr>
        <w:t xml:space="preserve">13. Aceptación</w:t>
      </w:r>
    </w:p>
    <w:p>
      <w:pPr>
        <w:spacing w:after="110"/>
      </w:pPr>
      <w:r>
        <w:rPr>
          <w:rFonts w:ascii="Calibri" w:cs="Calibri" w:eastAsia="Calibri" w:hAnsi="Calibri"/>
          <w:color w:val="101528"/>
          <w:sz w:val="22"/>
          <w:szCs w:val="22"/>
        </w:rPr>
        <w:t xml:space="preserve">13.1. La participación en el Club implica la aceptación de estos Términos y Condiciones y de los Términos y Condiciones Generales de TuTurno, que aplican de forma supletoria en todo lo no previsto aquí.</w:t>
      </w:r>
    </w:p>
    <w:p>
      <w:pPr>
        <w:spacing w:before="240"/>
      </w:pPr>
      <w:r>
        <w:rPr>
          <w:color w:val="6A7086"/>
          <w:sz w:val="20"/>
          <w:szCs w:val="20"/>
        </w:rPr>
        <w:t xml:space="preserve">TuTurno · Agosto 2026</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5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2026-09-07T20:55:59.055Z</dcterms:created>
  <dcterms:modified xsi:type="dcterms:W3CDTF">2026-09-07T20:55:59.055Z</dcterms:modified>
</cp:coreProperties>
</file>

<file path=docProps/custom.xml><?xml version="1.0" encoding="utf-8"?>
<Properties xmlns="http://schemas.openxmlformats.org/officeDocument/2006/custom-properties" xmlns:vt="http://schemas.openxmlformats.org/officeDocument/2006/docPropsVTypes"/>
</file>