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Fetal Ultrasound AI Proposal (CRISP-DM)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Group 11 (Taswira Analytics) · Oct 21, 2026 · 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Business understanding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Problem.</w:t>
      </w:r>
      <w:r w:rsidDel="00000000" w:rsidR="00000000" w:rsidRPr="00000000">
        <w:rPr>
          <w:rtl w:val="0"/>
        </w:rPr>
        <w:t xml:space="preserve"> Sub-Saharan Africa, including rural Kenya, has too few trained sonographers. Portable ultrasound devices are getting cheaper, but interpreting what they capture is still the bottleneck. As a result, complications such as malpresentation, growth restriction and placenta praevia go undetected. Blind-sweep protocols let midwives and nurses with about an hour of training acquire scans, but they still need help judging whether a sweep contains a usable, diagnostic frame.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objective.</w:t>
      </w:r>
      <w:r w:rsidDel="00000000" w:rsidR="00000000" w:rsidRPr="00000000">
        <w:rPr>
          <w:rtl w:val="0"/>
        </w:rPr>
        <w:t xml:space="preserve"> Extend diagnostic reach, not replace the sonographer. The tool acts as a second reader: it confirms that a usable plane was captured, and flags sweeps that need a rescan or specialist review.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Data-mining objective.</w:t>
      </w:r>
      <w:r w:rsidDel="00000000" w:rsidR="00000000" w:rsidRPr="00000000">
        <w:rPr>
          <w:rtl w:val="0"/>
        </w:rPr>
        <w:t xml:space="preserve"> Develop and evaluate a lightweight deep learning model that classifies fetal ultrasound planes and flags usable blind-sweep frames. It must be robust to the devices, sites and operator skill found in African low-resource settings, and be delivered by 12 November 2026.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Research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RQ1 (cross-region shift):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 well does a plane classifier pre-trained on European scans perform on African scans, before and after fine-tuning on a few African patients?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RQ2 (novice blind sweeps):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 a model find frames usable for abdominal measurement in blind sweeps acquired by novice operators in Sierra Leone?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RQ3 (device and site shift):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 much does performance vary across ultrasound devices and countries, and which strategy best closes the gap?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RQ4 (deployment):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 recall threshold, model size and inference latency suit a screening-support tool on a low-cost device?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Stakeholders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0"/>
        <w:gridCol w:w="4920"/>
        <w:tblGridChange w:id="0">
          <w:tblGrid>
            <w:gridCol w:w="4440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 of the 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Midwives and nurses in rural facilities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Second reader on blind sweeps; escalate flagged scans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County health management teams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Plan device roll-out and specialist referral workload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Ministry of Health, Division of Family Health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Evidence for guidelines on AI-assisted antenatal screening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Sonographers and radiologists at referral hospitals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Fewer unnecessary referrals; time focused on flagged cases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AIMIX consortium and Aga Khan University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Independent evidence on generalisation, ahead of Kenyan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Pregnant women and communities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Earlier detection and less travel, if deployed with consent and oversight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criteria.</w:t>
      </w:r>
      <w:r w:rsidDel="00000000" w:rsidR="00000000" w:rsidRPr="00000000">
        <w:rPr>
          <w:rtl w:val="0"/>
        </w:rPr>
        <w:t xml:space="preserve"> Meaningful classification on at least one clinically relevant task, plus a rigorous account of where and why performance degrades. A well-measured negative or mixed result is a valid outcome. Numeric targets are in section 5.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2. Data understanding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Four public, de-identified datasets cover every research question. Together they hold about 17,000 labelled standard-plane images and 1,800 novice blind sweeps.</w:t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7"/>
        <w:gridCol w:w="1337"/>
        <w:gridCol w:w="1337"/>
        <w:gridCol w:w="1823"/>
        <w:gridCol w:w="1305"/>
        <w:gridCol w:w="1153"/>
        <w:gridCol w:w="1067"/>
        <w:tblGridChange w:id="0">
          <w:tblGrid>
            <w:gridCol w:w="1337"/>
            <w:gridCol w:w="1337"/>
            <w:gridCol w:w="1337"/>
            <w:gridCol w:w="1823"/>
            <w:gridCol w:w="1305"/>
            <w:gridCol w:w="1153"/>
            <w:gridCol w:w="106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Origin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Contents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Labels used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Answers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Licence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FETAL_PLANES_DB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 hospitals, Barcelona, Spain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~12,400 images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Abdomen, brain (3 sub-planes), femur, thorax, cervix, other; patient, machine and operator IDs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2.1 GB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RQ1 (source), RQ3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hyperlink r:id="rId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African multi-centre planes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Malawi, Egypt, Uganda, Ghana, Algeria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450 images, 120 patients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Abdomen, brain, femur, thorax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42.8 MB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RQ1, RQ3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CC BY 4.0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hyperlink r:id="rId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Multicentre-Fetal-Biometry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 sites incl. UCL Hospital, 7 devices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4,513 images, 1,904 subjects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Head, abdomen, femur; device ID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Not stated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RQ3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CC BY-NC-SA 4.0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hyperlink r:id="rId1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ACOUSLIC-AI training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 public health units, Sierra Leone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300 cases × 6 blind sweeps by novices (1 hour of training), low-cost smartphone probe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Per-pixel optimal / suboptimal / background abdominal plane; abdominal circumference (mm)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38.0 GB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RQ2, RQ4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CC BY-NC-SA 4.0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Known quality issues to verify in exploration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target set: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only 25 patients per African country, and Uganda and Ghana have no thorax images.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overlap: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biometry collection reportedly includes a subset derived from FETAL_PLANES_DB, which would leak source images into evaluation.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Shortcut features: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burnt-in text, calipers and device overlays can let a model recognise the device or site instead of the anatomy.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imbalance: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most blind-sweep frames contain no usable plane.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Undocumented layout: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African archive does not document how patient IDs are encoded.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Not used as primary data:</w:t>
      </w:r>
      <w:r w:rsidDel="00000000" w:rsidR="00000000" w:rsidRPr="00000000">
        <w:rPr>
          <w:rtl w:val="0"/>
        </w:rPr>
        <w:t xml:space="preserve"> AIMIX Kenya (more than 1,349 women; not publicly released, see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CORDIS</w:t>
        </w:r>
      </w:hyperlink>
      <w:r w:rsidDel="00000000" w:rsidR="00000000" w:rsidRPr="00000000">
        <w:rPr>
          <w:rtl w:val="0"/>
        </w:rPr>
        <w:t xml:space="preserve">) and FPUS23 (phantom scans, not patients).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3. Data preparation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All preparation steps build one unified metadata table (path, dataset, site, device, patient ID, harmonised plane) and run reproducibly from raw files.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Subset ACOUSLIC-AI.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Pull about 20 cases (~2.5 GB) with a range-request script instead of the full 38 GB zip. Keep every labelled frame plus 60 background frames per case (~0.5 GB).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Harmonise labels.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Map every plane label to one shared set: abdomen, brain/head, femur, thorax, other. Maternal cervix merges into other. ACOUSLIC mask values become not usable / suboptimal / optimal.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integrity.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Check resolution, contrast, sharpness and border brightness per dataset and device. Remove unreadable files.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duplicates and leakage.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perceptual hashes to find duplicates within and across datasets. Drop any evaluation image that duplicates a Spanish training image.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 by patient.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Every split is grouped by patient (or ACOUSLIC case), so no patient appears in both training and test. FETAL_PLANES_DB keeps its published patient-disjoint train/test split, with a grouped validation set carved from train.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Pre-process images.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Repeat the grey channel to 3 channels for ImageNet backbones, resize to 224×224, and centre-crop if overlays are found at the borders.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Augment, ultrasound-safe.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Horizontal flip only, rotation of about ±10°, small zoom and shift, brightness and contrast jitter to mimic gain settings, and multiplicative speckle noise. No vertical flips, which would put the transducer at the bottom of the image.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imbalance.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Apply balanced class weights to both tasks.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4. Modelling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All models share one configurable builder: a pre-trained backbone, global pooling, and a dense head with dropout and L2 regularisation. Configurations are selected by validation </w:t>
      </w:r>
      <w:r w:rsidDel="00000000" w:rsidR="00000000" w:rsidRPr="00000000">
        <w:rPr>
          <w:b w:val="1"/>
          <w:bCs w:val="1"/>
          <w:rtl w:val="0"/>
        </w:rPr>
        <w:t xml:space="preserve">macro-F1</w:t>
      </w:r>
      <w:r w:rsidDel="00000000" w:rsidR="00000000" w:rsidRPr="00000000">
        <w:rPr>
          <w:rtl w:val="0"/>
        </w:rPr>
        <w:t xml:space="preserve">, not accuracy.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8"/>
        <w:gridCol w:w="3007"/>
        <w:gridCol w:w="3405"/>
        <w:tblGridChange w:id="0">
          <w:tblGrid>
            <w:gridCol w:w="2948"/>
            <w:gridCol w:w="3007"/>
            <w:gridCol w:w="340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Approach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Head experiments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Choose backbone and head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EfficientNet-B0 vs MobileNetV2; head width, depth and dropout compared over short runs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Source plane classifier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RQ1 baseline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Train the head on FETAL_PLANES_DB, then fine-tune the top 40 backbone layers with BatchNorm frozen; keep fine-tuning only if validation improves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Zero-shot transfer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RQ1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Apply the source model unchanged to each African country, restricting predictions to the planes 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Few-shot fine-tuning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RQ1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Fine-tune on k = 1, 2, 4, 6 or 10 patients per country, test on that country's remaining patients, 3 repeats per 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Leave-one-out models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RQ3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Fine-tune on four countries and test on the fifth; on the biometry set, hold out one device at a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Blind-sweep frame model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RQ2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Same builder with a 3-class head (not usable / suboptimal / optimal), trained on ACOUSLIC-AI frames grouped by case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few-shot design replicates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Sendra-Balcells et al. (2023)</w:t>
        </w:r>
      </w:hyperlink>
      <w:r w:rsidDel="00000000" w:rsidR="00000000" w:rsidRPr="00000000">
        <w:rPr>
          <w:rtl w:val="0"/>
        </w:rPr>
        <w:t xml:space="preserve">, who reported AUC above 98% with 4–6 African patients. Training runs on CPU or free GPU notebooks; epoch counts are set in one configuration cell.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5. Evaluation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primary finding is the size of the performance gap between in-domain and shifted settings, not headline accuracy. Every metric is reported on patient-held-out data.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6"/>
        <w:gridCol w:w="4920"/>
        <w:gridCol w:w="3294"/>
        <w:tblGridChange w:id="0">
          <w:tblGrid>
            <w:gridCol w:w="1146"/>
            <w:gridCol w:w="4920"/>
            <w:gridCol w:w="329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RQ1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Macro-F1 on African planes: zero-shot vs after few-shot fine-tuning, per country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Gap reported; ≥ 0.85 after fine-tuning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RQ2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Frame-level recall and precision for optimal frames; share of cases whose top-scored frame is usable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Recall ≥ 0.80 for optimal frames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RQ3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Macro-F1 and per-class recall for leave-one-country-out and leave-one-device-out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 country or device with recall &lt; 0.50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RQ4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Calibration (expected calibration error), flag rate at the chosen threshold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Flag rate 15–30% of sweeps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Each model also gets confusion matrices, an analysis of its most frequent and most confident errors, and AUC where the task is binary. If validation shows a target is unrealistic, we will report the result against the target rather than move it.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6. Deployment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capstone delivers a deployment analysis, not a clinical deployment. It asks whether the models could run on the low-cost phones and probes midwives already use.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Threshold and workflow: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the optimal-frame threshold on validation data to reach 0.80 recall, then report what share of sweeps would be flagged for rescan or specialist review.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size: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export both models to TensorFlow Lite with weight quantisation. Target under 20 MB, and check accuracy after quantisation.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measure CPU inference time per frame. Target under 200 ms.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Safeguards: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show confidence alongside every prediction, and never present a result as a diagnosis.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repository: data-access scripts, preprocessing pipeline, exploration, training and evaluation notebooks, and TFLite models.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with setup, reproduction steps and dataset licence terms.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report with results by dataset, country and device.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presentation for Ministry of Health, county health teams and AIMIX partners.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report covering methods, iterations, ethics and limitations.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Timeline, risks and limitations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7"/>
        <w:gridCol w:w="1779"/>
        <w:gridCol w:w="1964"/>
        <w:gridCol w:w="4820"/>
        <w:tblGridChange w:id="0">
          <w:tblGrid>
            <w:gridCol w:w="797"/>
            <w:gridCol w:w="1779"/>
            <w:gridCol w:w="1964"/>
            <w:gridCol w:w="48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Dates (2026)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CRISP-DM phases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16–22 Oct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Business and data understanding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Confirm scope; download and profile the four datasets; draft label map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23–29 Oct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Data preparation, modelling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Pipeline, duplicate and leakage checks, grouped splits; head experiments and source model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30 Oct – 5 Nov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Modelling, evaluation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Zero-shot, few-shot and leave-one-out runs; blind-sweep model; error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6–12 Nov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Evaluation, deployment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Thresholds, calibration, TFLite size and latency; report, presentation, submission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Risks and 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ACOUSLIC-AI is 38 GB. Use a 20-case stripped subset and cached arrays.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Leakage: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patient-grouped splits throughout, plus cross-dataset duplicate removal.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mismatch: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map to one shared plane set and report results per dataset.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Ceiling effects: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fine-tuned plane accuracy may already be high, so the shift analysis and RQ2 carry the findings.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Licences: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two datasets are non-commercial (CC BY-NC-SA). This suits academic use and is stated in the README.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Limitations.</w:t>
      </w:r>
      <w:r w:rsidDel="00000000" w:rsidR="00000000" w:rsidRPr="00000000">
        <w:rPr>
          <w:rtl w:val="0"/>
        </w:rPr>
        <w:t xml:space="preserve"> There is no Kenyan data, no abnormality labels and no prospective clinical validation. Results are evidence for African low-resource settings in general, not approval to deploy. Kenyan validation with AIMIX data is future work.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FETAL_PLANES_DB, Zenodo 3904280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African fetal planes, Zenodo 7540448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Multicentre-Fetal-Biometry (B2FIND)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ACOUSLIC-AI challenge data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Zenodo record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Sendra-Balcells et al., Scientific Reports 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hyperlink r:id="rId1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AIMIX reporting, CORDIS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i w:val="1"/>
          <w:iCs w:val="1"/>
          <w:rtl w:val="0"/>
        </w:rPr>
        <w:t xml:space="preserve">Portions of this content were developed with AI assistance and reviewed by the project team.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rdis.europa.eu/project/id/101044779/reporting" TargetMode="External"/><Relationship Id="rId10" Type="http://schemas.openxmlformats.org/officeDocument/2006/relationships/hyperlink" Target="https://zenodo.org/records/12697994" TargetMode="External"/><Relationship Id="rId13" Type="http://schemas.openxmlformats.org/officeDocument/2006/relationships/hyperlink" Target="https://zenodo.org/record/3904280" TargetMode="External"/><Relationship Id="rId12" Type="http://schemas.openxmlformats.org/officeDocument/2006/relationships/hyperlink" Target="https://www.nature.com/articles/s41598-023-29490-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5522/04/30819911.v2" TargetMode="External"/><Relationship Id="rId15" Type="http://schemas.openxmlformats.org/officeDocument/2006/relationships/hyperlink" Target="https://b2find.eudat.eu/dataset/b9328956-7676-5b96-b7f2-04ee4bed9ff4" TargetMode="External"/><Relationship Id="rId14" Type="http://schemas.openxmlformats.org/officeDocument/2006/relationships/hyperlink" Target="https://zenodo.org/records/7540448" TargetMode="External"/><Relationship Id="rId17" Type="http://schemas.openxmlformats.org/officeDocument/2006/relationships/hyperlink" Target="https://zenodo.org/records/12697994" TargetMode="External"/><Relationship Id="rId16" Type="http://schemas.openxmlformats.org/officeDocument/2006/relationships/hyperlink" Target="https://acouslic-ai.grand-challenge.org/dataset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cordis.europa.eu/project/id/101044779/reporting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nature.com/articles/s41598-023-29490-3" TargetMode="External"/><Relationship Id="rId7" Type="http://schemas.openxmlformats.org/officeDocument/2006/relationships/hyperlink" Target="https://zenodo.org/record/3904280" TargetMode="External"/><Relationship Id="rId8" Type="http://schemas.openxmlformats.org/officeDocument/2006/relationships/hyperlink" Target="https://zenodo.org/records/75404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SysPCwFUurw6RBVZqYh415VcFA==">CgMxLjA4AHIhMTJkeXhKQlBxc1FVZ1RzOUVUMW0tSXNxR2daSEtkVTJo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