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6D7C" w14:textId="5CE1539D" w:rsidR="00547E49" w:rsidRPr="00547E49" w:rsidRDefault="00675250" w:rsidP="002D5DFD">
      <w:pPr>
        <w:pStyle w:val="Title"/>
        <w:pBdr>
          <w:bottom w:val="single" w:sz="8" w:space="31" w:color="4F81BD" w:themeColor="accent1"/>
        </w:pBdr>
        <w:jc w:val="center"/>
        <w:rPr>
          <w:b/>
          <w:bCs/>
          <w:color w:val="5F497A" w:themeColor="accent4" w:themeShade="BF"/>
          <w:lang w:val="es-CO"/>
        </w:rPr>
      </w:pPr>
      <w:r w:rsidRPr="00547E49">
        <w:rPr>
          <w:b/>
          <w:bCs/>
          <w:color w:val="5F497A" w:themeColor="accent4" w:themeShade="BF"/>
          <w:lang w:val="es-CO"/>
        </w:rPr>
        <w:t xml:space="preserve">Documentación técnica </w:t>
      </w:r>
    </w:p>
    <w:p w14:paraId="015460DD" w14:textId="6576C1AB" w:rsidR="001B241D" w:rsidRDefault="006C43B2" w:rsidP="002D5DFD">
      <w:pPr>
        <w:pStyle w:val="Title"/>
        <w:pBdr>
          <w:bottom w:val="single" w:sz="8" w:space="31" w:color="4F81BD" w:themeColor="accent1"/>
        </w:pBdr>
        <w:jc w:val="center"/>
        <w:rPr>
          <w:b/>
          <w:bCs/>
          <w:color w:val="399AB5"/>
          <w:sz w:val="44"/>
          <w:szCs w:val="44"/>
          <w:lang w:val="es-CO"/>
        </w:rPr>
      </w:pPr>
      <w:r>
        <w:rPr>
          <w:b/>
          <w:bCs/>
          <w:color w:val="399AB5"/>
          <w:sz w:val="44"/>
          <w:szCs w:val="44"/>
          <w:lang w:val="es-CO"/>
        </w:rPr>
        <w:t xml:space="preserve">Automatización </w:t>
      </w:r>
      <w:r w:rsidR="00E305A2">
        <w:rPr>
          <w:b/>
          <w:bCs/>
          <w:color w:val="399AB5"/>
          <w:sz w:val="44"/>
          <w:szCs w:val="44"/>
          <w:lang w:val="es-CO"/>
        </w:rPr>
        <w:t xml:space="preserve">Escalas </w:t>
      </w:r>
      <w:r w:rsidRPr="002D5DFD">
        <w:rPr>
          <w:b/>
          <w:bCs/>
          <w:color w:val="399AB5"/>
          <w:sz w:val="44"/>
          <w:szCs w:val="44"/>
          <w:lang w:val="es-CO"/>
        </w:rPr>
        <w:t>de</w:t>
      </w:r>
      <w:r>
        <w:rPr>
          <w:b/>
          <w:bCs/>
          <w:color w:val="399AB5"/>
          <w:sz w:val="44"/>
          <w:szCs w:val="44"/>
          <w:lang w:val="es-CO"/>
        </w:rPr>
        <w:t xml:space="preserve"> </w:t>
      </w:r>
      <w:r w:rsidR="00E305A2">
        <w:rPr>
          <w:b/>
          <w:bCs/>
          <w:color w:val="399AB5"/>
          <w:sz w:val="44"/>
          <w:szCs w:val="44"/>
          <w:lang w:val="es-CO"/>
        </w:rPr>
        <w:t>Crecimiento</w:t>
      </w:r>
    </w:p>
    <w:p w14:paraId="487C63DB" w14:textId="77777777" w:rsidR="002D5DFD" w:rsidRDefault="002D5DFD" w:rsidP="002D5DFD">
      <w:pPr>
        <w:rPr>
          <w:lang w:val="es-CO"/>
        </w:rPr>
      </w:pPr>
    </w:p>
    <w:p w14:paraId="5D8E17F5" w14:textId="77777777" w:rsidR="002D5DFD" w:rsidRDefault="002D5DFD" w:rsidP="002D5DFD">
      <w:pPr>
        <w:rPr>
          <w:lang w:val="es-CO"/>
        </w:rPr>
      </w:pPr>
    </w:p>
    <w:p w14:paraId="5FF94286" w14:textId="77777777" w:rsidR="002D5DFD" w:rsidRPr="002D5DFD" w:rsidRDefault="002D5DFD" w:rsidP="002D5DFD">
      <w:pPr>
        <w:rPr>
          <w:lang w:val="es-CO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17365D"/>
          <w:sz w:val="22"/>
          <w:szCs w:val="22"/>
        </w:rPr>
        <w:id w:val="-599103407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74248705" w14:textId="408FD6AE" w:rsidR="002D5DFD" w:rsidRPr="00213F0B" w:rsidRDefault="002D5DFD" w:rsidP="002D5DFD">
          <w:pPr>
            <w:pStyle w:val="TOCHeading"/>
            <w:rPr>
              <w:color w:val="17365D"/>
              <w:lang w:val="es-CO"/>
            </w:rPr>
          </w:pPr>
          <w:r w:rsidRPr="00213F0B">
            <w:rPr>
              <w:color w:val="5F497A" w:themeColor="accent4" w:themeShade="BF"/>
              <w:lang w:val="es-CO"/>
            </w:rPr>
            <w:t>Contenido</w:t>
          </w:r>
        </w:p>
        <w:p w14:paraId="27751267" w14:textId="069EEFA3" w:rsidR="00A224B8" w:rsidRDefault="006C43B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30"/>
              <w:lang w:eastAsia="zh-CN" w:bidi="th-TH"/>
              <w14:ligatures w14:val="standardContextual"/>
            </w:rPr>
          </w:pPr>
          <w:r w:rsidRPr="002D5DFD">
            <w:rPr>
              <w:color w:val="000000" w:themeColor="text1"/>
            </w:rPr>
            <w:fldChar w:fldCharType="begin"/>
          </w:r>
          <w:r w:rsidRPr="002D5DFD">
            <w:rPr>
              <w:color w:val="000000" w:themeColor="text1"/>
            </w:rPr>
            <w:instrText xml:space="preserve"> TOC \o "1-3" \h \z \u </w:instrText>
          </w:r>
          <w:r w:rsidRPr="002D5DFD">
            <w:rPr>
              <w:color w:val="000000" w:themeColor="text1"/>
            </w:rPr>
            <w:fldChar w:fldCharType="separate"/>
          </w:r>
          <w:hyperlink w:anchor="_Toc215474951" w:history="1">
            <w:r w:rsidR="00A224B8" w:rsidRPr="00611469">
              <w:rPr>
                <w:rStyle w:val="Hyperlink"/>
                <w:noProof/>
                <w:lang w:val="es-CO"/>
              </w:rPr>
              <w:t>1. Propósito y alcance</w:t>
            </w:r>
            <w:r w:rsidR="00A224B8">
              <w:rPr>
                <w:noProof/>
                <w:webHidden/>
              </w:rPr>
              <w:tab/>
            </w:r>
            <w:r w:rsidR="00A224B8">
              <w:rPr>
                <w:noProof/>
                <w:webHidden/>
              </w:rPr>
              <w:fldChar w:fldCharType="begin"/>
            </w:r>
            <w:r w:rsidR="00A224B8">
              <w:rPr>
                <w:noProof/>
                <w:webHidden/>
              </w:rPr>
              <w:instrText xml:space="preserve"> PAGEREF _Toc215474951 \h </w:instrText>
            </w:r>
            <w:r w:rsidR="00A224B8">
              <w:rPr>
                <w:noProof/>
                <w:webHidden/>
              </w:rPr>
            </w:r>
            <w:r w:rsidR="00A224B8">
              <w:rPr>
                <w:noProof/>
                <w:webHidden/>
              </w:rPr>
              <w:fldChar w:fldCharType="separate"/>
            </w:r>
            <w:r w:rsidR="006C4874">
              <w:rPr>
                <w:noProof/>
                <w:webHidden/>
              </w:rPr>
              <w:t>2</w:t>
            </w:r>
            <w:r w:rsidR="00A224B8">
              <w:rPr>
                <w:noProof/>
                <w:webHidden/>
              </w:rPr>
              <w:fldChar w:fldCharType="end"/>
            </w:r>
          </w:hyperlink>
        </w:p>
        <w:p w14:paraId="514FB3A3" w14:textId="55FFA9EC" w:rsidR="00A224B8" w:rsidRDefault="00A224B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15474952" w:history="1">
            <w:r w:rsidRPr="00611469">
              <w:rPr>
                <w:rStyle w:val="Hyperlink"/>
                <w:noProof/>
              </w:rPr>
              <w:t>2. Flujo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87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B5339" w14:textId="036AE162" w:rsidR="00A224B8" w:rsidRDefault="00A224B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15474953" w:history="1">
            <w:r w:rsidRPr="00611469">
              <w:rPr>
                <w:rStyle w:val="Hyperlink"/>
                <w:noProof/>
              </w:rPr>
              <w:t>3. Componentes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8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497D6" w14:textId="7CB09A6E" w:rsidR="00A224B8" w:rsidRDefault="00A224B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15474954" w:history="1">
            <w:r w:rsidRPr="00611469">
              <w:rPr>
                <w:rStyle w:val="Hyperlink"/>
                <w:noProof/>
              </w:rPr>
              <w:t>4. Reglas de negocio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8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1B666" w14:textId="0540FF5A" w:rsidR="00A224B8" w:rsidRDefault="00A224B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15474955" w:history="1">
            <w:r w:rsidRPr="00611469">
              <w:rPr>
                <w:rStyle w:val="Hyperlink"/>
                <w:noProof/>
              </w:rPr>
              <w:t>5. Entradas requeridas (data/input)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8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F2FBC" w14:textId="33193B22" w:rsidR="00A224B8" w:rsidRDefault="00A224B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15474956" w:history="1">
            <w:r w:rsidRPr="00611469">
              <w:rPr>
                <w:rStyle w:val="Hyperlink"/>
                <w:noProof/>
              </w:rPr>
              <w:t>6. Salidas generadas (data/output)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8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7207B" w14:textId="5D1A5B09" w:rsidR="00A224B8" w:rsidRDefault="00A224B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15474957" w:history="1">
            <w:r w:rsidRPr="00611469">
              <w:rPr>
                <w:rStyle w:val="Hyperlink"/>
                <w:noProof/>
              </w:rPr>
              <w:t>7. Ejecución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87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D8C9" w14:textId="7F109950" w:rsidR="00A224B8" w:rsidRDefault="00A224B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15474958" w:history="1">
            <w:r w:rsidRPr="00611469">
              <w:rPr>
                <w:rStyle w:val="Hyperlink"/>
                <w:noProof/>
                <w:lang w:val="es-CO"/>
              </w:rPr>
              <w:t>8. Notas de mantenimiento y extensiones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87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A8983" w14:textId="56065D3E" w:rsidR="00A224B8" w:rsidRDefault="00A224B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15474959" w:history="1">
            <w:r w:rsidRPr="00611469">
              <w:rPr>
                <w:rStyle w:val="Hyperlink"/>
                <w:noProof/>
                <w:lang w:val="es-CO"/>
              </w:rPr>
              <w:t>9. Enlace repositorio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48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0E52E" w14:textId="68FA2F0B" w:rsidR="006C43B2" w:rsidRPr="002D5DFD" w:rsidRDefault="006C43B2" w:rsidP="002D5DFD">
          <w:r w:rsidRPr="002D5DFD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ADBD798" w14:textId="77777777" w:rsidR="006C43B2" w:rsidRDefault="006C43B2">
      <w:pPr>
        <w:pStyle w:val="Heading1"/>
        <w:rPr>
          <w:color w:val="5F497A" w:themeColor="accent4" w:themeShade="BF"/>
          <w:lang w:val="es-CO"/>
        </w:rPr>
      </w:pPr>
    </w:p>
    <w:p w14:paraId="414B39F2" w14:textId="77777777" w:rsidR="006C43B2" w:rsidRDefault="006C43B2">
      <w:pPr>
        <w:pStyle w:val="Heading1"/>
        <w:rPr>
          <w:color w:val="5F497A" w:themeColor="accent4" w:themeShade="BF"/>
          <w:lang w:val="es-CO"/>
        </w:rPr>
      </w:pPr>
    </w:p>
    <w:p w14:paraId="3762A02D" w14:textId="77777777" w:rsidR="002D5DFD" w:rsidRDefault="002D5DFD" w:rsidP="002D5DFD">
      <w:pPr>
        <w:rPr>
          <w:lang w:val="es-CO"/>
        </w:rPr>
      </w:pPr>
    </w:p>
    <w:p w14:paraId="05E77FE6" w14:textId="77777777" w:rsidR="002D5DFD" w:rsidRDefault="002D5DFD" w:rsidP="002D5DFD">
      <w:pPr>
        <w:rPr>
          <w:lang w:val="es-CO"/>
        </w:rPr>
      </w:pPr>
    </w:p>
    <w:p w14:paraId="0DAB3687" w14:textId="77777777" w:rsidR="002D5DFD" w:rsidRDefault="002D5DFD" w:rsidP="002D5DFD">
      <w:pPr>
        <w:rPr>
          <w:lang w:val="es-CO"/>
        </w:rPr>
      </w:pPr>
    </w:p>
    <w:p w14:paraId="151585E6" w14:textId="77777777" w:rsidR="002D5DFD" w:rsidRDefault="002D5DFD" w:rsidP="002D5DFD">
      <w:pPr>
        <w:rPr>
          <w:lang w:val="es-CO"/>
        </w:rPr>
      </w:pPr>
    </w:p>
    <w:p w14:paraId="791F8462" w14:textId="77777777" w:rsidR="002D5DFD" w:rsidRDefault="002D5DFD" w:rsidP="002D5DFD">
      <w:pPr>
        <w:rPr>
          <w:lang w:val="es-CO"/>
        </w:rPr>
      </w:pPr>
    </w:p>
    <w:p w14:paraId="6A94E583" w14:textId="77777777" w:rsidR="002D5DFD" w:rsidRDefault="002D5DFD" w:rsidP="002D5DFD">
      <w:pPr>
        <w:rPr>
          <w:lang w:val="es-CO"/>
        </w:rPr>
      </w:pPr>
    </w:p>
    <w:p w14:paraId="76898D01" w14:textId="77777777" w:rsidR="002D5DFD" w:rsidRPr="002D5DFD" w:rsidRDefault="002D5DFD" w:rsidP="002D5DFD">
      <w:pPr>
        <w:rPr>
          <w:lang w:val="es-CO"/>
        </w:rPr>
      </w:pPr>
    </w:p>
    <w:p w14:paraId="3ED76D4C" w14:textId="6EEAD070" w:rsidR="001B241D" w:rsidRPr="00547E49" w:rsidRDefault="00675250">
      <w:pPr>
        <w:pStyle w:val="Heading1"/>
        <w:rPr>
          <w:color w:val="5F497A" w:themeColor="accent4" w:themeShade="BF"/>
          <w:lang w:val="es-CO"/>
        </w:rPr>
      </w:pPr>
      <w:bookmarkStart w:id="0" w:name="_Toc215474951"/>
      <w:r w:rsidRPr="00547E49">
        <w:rPr>
          <w:color w:val="5F497A" w:themeColor="accent4" w:themeShade="BF"/>
          <w:lang w:val="es-CO"/>
        </w:rPr>
        <w:t>1. Propósito y alcance</w:t>
      </w:r>
      <w:bookmarkEnd w:id="0"/>
    </w:p>
    <w:p w14:paraId="59B2C822" w14:textId="2351EF54" w:rsidR="002D5DFD" w:rsidRPr="004D6AFD" w:rsidRDefault="00675250">
      <w:pPr>
        <w:rPr>
          <w:lang w:val="es-CO"/>
        </w:rPr>
      </w:pPr>
      <w:r w:rsidRPr="00675250">
        <w:rPr>
          <w:lang w:val="es-CO"/>
        </w:rPr>
        <w:t xml:space="preserve">Automatizar </w:t>
      </w:r>
      <w:r w:rsidR="004D6AFD" w:rsidRPr="004D6AFD">
        <w:rPr>
          <w:lang w:val="es-CO"/>
        </w:rPr>
        <w:t>la generación de reportes de Escala de Crecimiento para proveedores Soriana/CityClub, cruzando datos de compras, devoluciones, AP y convenios (legado/SAP), aplicando reglas de porcentajes de descuento por rango y poblando una plantilla Excel lista para entrega. Incluye ejecución individual o por lotes, nombre de archivos con número y nombre de proveedor, y una GUI simple para usuarios no técnicos.</w:t>
      </w:r>
    </w:p>
    <w:p w14:paraId="4074088A" w14:textId="77777777" w:rsidR="001B241D" w:rsidRPr="004D6AFD" w:rsidRDefault="00675250">
      <w:pPr>
        <w:pStyle w:val="Heading1"/>
        <w:rPr>
          <w:color w:val="5F497A" w:themeColor="accent4" w:themeShade="BF"/>
          <w:lang w:val="es-CO"/>
        </w:rPr>
      </w:pPr>
      <w:bookmarkStart w:id="1" w:name="_Toc215474952"/>
      <w:r w:rsidRPr="00547E49">
        <w:rPr>
          <w:color w:val="5F497A" w:themeColor="accent4" w:themeShade="BF"/>
        </w:rPr>
        <w:t>2. Flujo de alto nivel</w:t>
      </w:r>
      <w:bookmarkEnd w:id="1"/>
    </w:p>
    <w:p w14:paraId="790D11F2" w14:textId="326C5EA2" w:rsidR="004D6AFD" w:rsidRPr="004D6AFD" w:rsidRDefault="004D6AFD" w:rsidP="004D6AFD">
      <w:pPr>
        <w:pStyle w:val="ListBullet"/>
        <w:rPr>
          <w:lang w:val="es-CO"/>
        </w:rPr>
      </w:pPr>
      <w:r w:rsidRPr="004D6AFD">
        <w:rPr>
          <w:lang w:val="es-CO"/>
        </w:rPr>
        <w:t>template_filler.py arma el Excel final: llena compras/devoluciones/AP por año/mes, calcula el porcentaje aplicable desde Porcentajes.xlsx y respeta fórmulas/formatos de la plantilla EscalaCrec.xlsx.</w:t>
      </w:r>
    </w:p>
    <w:p w14:paraId="05767B3C" w14:textId="77777777" w:rsidR="004D6AFD" w:rsidRPr="004D6AFD" w:rsidRDefault="004D6AFD" w:rsidP="004D6AFD">
      <w:pPr>
        <w:pStyle w:val="ListBullet"/>
        <w:rPr>
          <w:lang w:val="es-CO"/>
        </w:rPr>
      </w:pPr>
      <w:r w:rsidRPr="004D6AFD">
        <w:rPr>
          <w:lang w:val="es-CO"/>
        </w:rPr>
        <w:t>extract_queries.py + repository.py ejecutan las consultas SQL (compras, devoluciones, AP, convenios) reutilizando una conexión a SQL Server.</w:t>
      </w:r>
    </w:p>
    <w:p w14:paraId="2D626C43" w14:textId="77777777" w:rsidR="004D6AFD" w:rsidRPr="004D6AFD" w:rsidRDefault="004D6AFD" w:rsidP="004D6AFD">
      <w:pPr>
        <w:pStyle w:val="ListBullet"/>
        <w:rPr>
          <w:lang w:val="es-CO"/>
        </w:rPr>
      </w:pPr>
      <w:r w:rsidRPr="004D6AFD">
        <w:rPr>
          <w:lang w:val="es-CO"/>
        </w:rPr>
        <w:t>batch_runner.py permite ejecución masiva desde un Excel de entrada (vendor, fecha_ini, fecha_fin), generando un archivo por proveedor nombrado &lt;vendor&gt;-&lt;NombreProveedor&gt;.xlsx.</w:t>
      </w:r>
    </w:p>
    <w:p w14:paraId="33E01A69" w14:textId="77777777" w:rsidR="004D6AFD" w:rsidRPr="004D6AFD" w:rsidRDefault="004D6AFD" w:rsidP="004D6AFD">
      <w:pPr>
        <w:pStyle w:val="ListBullet"/>
        <w:rPr>
          <w:lang w:val="es-CO"/>
        </w:rPr>
      </w:pPr>
      <w:r w:rsidRPr="004D6AFD">
        <w:rPr>
          <w:lang w:val="es-CO"/>
        </w:rPr>
        <w:t>gui_runner.py ofrece una interfaz gráfica ligera para correr un caso individual (ingreso de proveedor y rango de fechas, logos y selectores de fecha integrados).</w:t>
      </w:r>
    </w:p>
    <w:p w14:paraId="37620057" w14:textId="77777777" w:rsidR="004D6AFD" w:rsidRPr="004D6AFD" w:rsidRDefault="004D6AFD" w:rsidP="004D6AFD">
      <w:pPr>
        <w:pStyle w:val="ListBullet"/>
      </w:pPr>
      <w:r w:rsidRPr="004D6AFD">
        <w:t>*.sql contienen las consultas parametrizadas (compras, devoluciones, AP, convenios legado/SAP, vendor_master).</w:t>
      </w:r>
    </w:p>
    <w:p w14:paraId="2F5C8883" w14:textId="7349BF92" w:rsidR="004D6AFD" w:rsidRDefault="004D6AFD" w:rsidP="004D6AFD">
      <w:pPr>
        <w:pStyle w:val="ListBullet"/>
        <w:rPr>
          <w:lang w:val="es-CO"/>
        </w:rPr>
      </w:pPr>
      <w:r w:rsidRPr="004D6AFD">
        <w:rPr>
          <w:lang w:val="es-CO"/>
        </w:rPr>
        <w:t>Plantillas y datos auxiliares: EscalaCrec.xlsx (formato final) y Porcentajes.xlsx (rangos de descuento por convenio/</w:t>
      </w:r>
      <w:r w:rsidRPr="004D6AFD">
        <w:rPr>
          <w:lang w:val="es-CO"/>
        </w:rPr>
        <w:t>versión</w:t>
      </w:r>
      <w:r w:rsidRPr="004D6AFD">
        <w:rPr>
          <w:lang w:val="es-CO"/>
        </w:rPr>
        <w:t>).</w:t>
      </w:r>
    </w:p>
    <w:p w14:paraId="43E03C8E" w14:textId="77777777" w:rsidR="004D6AFD" w:rsidRPr="004D6AFD" w:rsidRDefault="004D6AFD" w:rsidP="004D6AFD">
      <w:pPr>
        <w:pStyle w:val="ListBullet"/>
        <w:numPr>
          <w:ilvl w:val="0"/>
          <w:numId w:val="0"/>
        </w:numPr>
        <w:ind w:left="360"/>
        <w:rPr>
          <w:lang w:val="es-CO"/>
        </w:rPr>
      </w:pPr>
    </w:p>
    <w:p w14:paraId="64CE002F" w14:textId="071E3F70" w:rsidR="002D5DFD" w:rsidRDefault="004D6AFD" w:rsidP="00B20D96">
      <w:pPr>
        <w:pStyle w:val="ListBullet"/>
        <w:numPr>
          <w:ilvl w:val="0"/>
          <w:numId w:val="0"/>
        </w:numPr>
        <w:ind w:left="360" w:hanging="360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3F69E620" wp14:editId="25931B37">
            <wp:extent cx="2042160" cy="3025974"/>
            <wp:effectExtent l="0" t="0" r="0" b="3175"/>
            <wp:docPr id="103182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26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1387" cy="303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       </w:t>
      </w:r>
      <w:r>
        <w:rPr>
          <w:noProof/>
        </w:rPr>
        <w:drawing>
          <wp:inline distT="0" distB="0" distL="0" distR="0" wp14:anchorId="2CFC7B39" wp14:editId="6652CDBA">
            <wp:extent cx="2127331" cy="3046730"/>
            <wp:effectExtent l="0" t="0" r="6350" b="1270"/>
            <wp:docPr id="16229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67767" name=""/>
                    <pic:cNvPicPr/>
                  </pic:nvPicPr>
                  <pic:blipFill rotWithShape="1">
                    <a:blip r:embed="rId9"/>
                    <a:srcRect r="11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322" cy="306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60BBE" w14:textId="77777777" w:rsidR="002D5DFD" w:rsidRPr="00675250" w:rsidRDefault="002D5DFD" w:rsidP="00017C3B">
      <w:pPr>
        <w:pStyle w:val="ListBullet"/>
        <w:numPr>
          <w:ilvl w:val="0"/>
          <w:numId w:val="0"/>
        </w:numPr>
        <w:rPr>
          <w:lang w:val="es-CO"/>
        </w:rPr>
      </w:pPr>
    </w:p>
    <w:p w14:paraId="15581CFB" w14:textId="0FD1A29D" w:rsidR="00415BAF" w:rsidRPr="00853341" w:rsidRDefault="00675250" w:rsidP="00853341">
      <w:pPr>
        <w:pStyle w:val="Heading1"/>
        <w:rPr>
          <w:color w:val="5F497A" w:themeColor="accent4" w:themeShade="BF"/>
        </w:rPr>
      </w:pPr>
      <w:bookmarkStart w:id="2" w:name="_Toc215474953"/>
      <w:r w:rsidRPr="00547E49">
        <w:rPr>
          <w:color w:val="5F497A" w:themeColor="accent4" w:themeShade="BF"/>
        </w:rPr>
        <w:t>3. Componentes y responsabilidades</w:t>
      </w:r>
      <w:bookmarkEnd w:id="2"/>
    </w:p>
    <w:p w14:paraId="7E64347C" w14:textId="7EFD5BF3" w:rsidR="005A1433" w:rsidRPr="005A1433" w:rsidRDefault="005A1433" w:rsidP="005A1433">
      <w:pPr>
        <w:pStyle w:val="ListBullet"/>
        <w:rPr>
          <w:lang w:val="es-CO"/>
        </w:rPr>
      </w:pPr>
      <w:r w:rsidRPr="005A1433">
        <w:rPr>
          <w:lang w:val="es-CO"/>
        </w:rPr>
        <w:t>template_filler.py: Lógica central de armado del reporte. Fusiona compras, devoluciones y AP en la plantilla; aplica porcentajes desde Porcentajes.xlsx (rangos por convenio/versión); respeta fórmulas y estilo de EscalaCrec.xlsx; coloca encabezados (B3/B8) con número y nombre de proveedor.</w:t>
      </w:r>
    </w:p>
    <w:p w14:paraId="653E6A43" w14:textId="77777777" w:rsidR="005A1433" w:rsidRPr="005A1433" w:rsidRDefault="005A1433" w:rsidP="005A1433">
      <w:pPr>
        <w:pStyle w:val="ListBullet"/>
        <w:rPr>
          <w:lang w:val="es-CO"/>
        </w:rPr>
      </w:pPr>
      <w:r w:rsidRPr="005A1433">
        <w:rPr>
          <w:lang w:val="es-CO"/>
        </w:rPr>
        <w:t>extract_queries.py / repository.py: Orquestan y ejecutan las consultas SQL parametrizadas (compras, devoluciones, AP, convenios legado SAP/City, convenios SAP, vendor master) sobre SQL Server, reutilizando una sola conexión.</w:t>
      </w:r>
    </w:p>
    <w:p w14:paraId="267F77DD" w14:textId="77777777" w:rsidR="005A1433" w:rsidRPr="005A1433" w:rsidRDefault="005A1433" w:rsidP="005A1433">
      <w:pPr>
        <w:pStyle w:val="ListBullet"/>
        <w:rPr>
          <w:lang w:val="es-CO"/>
        </w:rPr>
      </w:pPr>
      <w:r w:rsidRPr="005A1433">
        <w:rPr>
          <w:lang w:val="es-CO"/>
        </w:rPr>
        <w:t>*.sql: Conjunto de consultas parametrizadas usadas por el extractor: compras.sql, devoluciones.sql, ap.sql, convenios_legados_s.sql, convenios_legados_c.sql, convenios_sap.sql, vendor_master.sql.</w:t>
      </w:r>
    </w:p>
    <w:p w14:paraId="032625DE" w14:textId="77777777" w:rsidR="005A1433" w:rsidRPr="005A1433" w:rsidRDefault="005A1433" w:rsidP="005A1433">
      <w:pPr>
        <w:pStyle w:val="ListBullet"/>
        <w:rPr>
          <w:lang w:val="es-CO"/>
        </w:rPr>
      </w:pPr>
      <w:r w:rsidRPr="005A1433">
        <w:rPr>
          <w:lang w:val="es-CO"/>
        </w:rPr>
        <w:t>batch_runner.py: Ejecución masiva. Lee un Excel de entrada con columnas vendor, fecha_ini, fecha_fin (alias aceptados), corre generate_escalacrec_report para cada fila y guarda un archivo por proveedor nombrado &lt;vendor&gt;-&lt;NombreProveedor&gt;.xlsx en output/batch.</w:t>
      </w:r>
    </w:p>
    <w:p w14:paraId="69875B2F" w14:textId="77777777" w:rsidR="005A1433" w:rsidRPr="005A1433" w:rsidRDefault="005A1433" w:rsidP="005A1433">
      <w:pPr>
        <w:pStyle w:val="ListBullet"/>
      </w:pPr>
      <w:r w:rsidRPr="005A1433">
        <w:rPr>
          <w:lang w:val="pt-BR"/>
        </w:rPr>
        <w:t xml:space="preserve">gui_runner.py: Interfaz gráfica ligera. </w:t>
      </w:r>
      <w:r w:rsidRPr="005A1433">
        <w:rPr>
          <w:lang w:val="es-CO"/>
        </w:rPr>
        <w:t xml:space="preserve">Permite ingresar proveedor y rango de fechas (selectores de Año/Mes/Día embebidos), muestra estado y dispara generate_escalacrec_report. </w:t>
      </w:r>
      <w:r w:rsidRPr="005A1433">
        <w:t>Incluye logos Soriana/PRGX.</w:t>
      </w:r>
    </w:p>
    <w:p w14:paraId="08C21A5C" w14:textId="77777777" w:rsidR="005A1433" w:rsidRPr="005A1433" w:rsidRDefault="005A1433" w:rsidP="005A1433">
      <w:pPr>
        <w:pStyle w:val="ListBullet"/>
        <w:rPr>
          <w:lang w:val="es-CO"/>
        </w:rPr>
      </w:pPr>
      <w:r w:rsidRPr="005A1433">
        <w:rPr>
          <w:lang w:val="es-CO"/>
        </w:rPr>
        <w:t>db.py: Configuración de conexión a SQL Server (ODBC 18, base SORIANA_PROJECTS).</w:t>
      </w:r>
    </w:p>
    <w:p w14:paraId="1979DE57" w14:textId="77777777" w:rsidR="005A1433" w:rsidRPr="005A1433" w:rsidRDefault="005A1433" w:rsidP="005A1433">
      <w:pPr>
        <w:pStyle w:val="ListBullet"/>
      </w:pPr>
      <w:r w:rsidRPr="005A1433">
        <w:t>Plantillas y datos auxiliares:</w:t>
      </w:r>
    </w:p>
    <w:p w14:paraId="73537BCE" w14:textId="77777777" w:rsidR="005A1433" w:rsidRPr="005A1433" w:rsidRDefault="005A1433" w:rsidP="005A1433">
      <w:pPr>
        <w:pStyle w:val="ListBullet"/>
        <w:numPr>
          <w:ilvl w:val="0"/>
          <w:numId w:val="0"/>
        </w:numPr>
        <w:ind w:left="720"/>
        <w:rPr>
          <w:lang w:val="es-CO"/>
        </w:rPr>
      </w:pPr>
      <w:r w:rsidRPr="005A1433">
        <w:rPr>
          <w:lang w:val="es-CO"/>
        </w:rPr>
        <w:t>EscalaCrec.xlsx: Plantilla base con fórmulas y formato del reporte.</w:t>
      </w:r>
    </w:p>
    <w:p w14:paraId="6BD188B3" w14:textId="5727B960" w:rsidR="001B241D" w:rsidRPr="005A1433" w:rsidRDefault="005A1433" w:rsidP="005A1433">
      <w:pPr>
        <w:pStyle w:val="ListBullet"/>
        <w:numPr>
          <w:ilvl w:val="0"/>
          <w:numId w:val="0"/>
        </w:numPr>
        <w:ind w:left="720"/>
        <w:rPr>
          <w:lang w:val="es-CO"/>
        </w:rPr>
      </w:pPr>
      <w:r w:rsidRPr="005A1433">
        <w:rPr>
          <w:lang w:val="es-CO"/>
        </w:rPr>
        <w:t>Porcentajes.xlsx: Tabla de rangos y porcentajes de descuento por convenio/versión/proveedor.</w:t>
      </w:r>
    </w:p>
    <w:p w14:paraId="3A2A9FF4" w14:textId="78582C1C" w:rsidR="00415BAF" w:rsidRPr="00853341" w:rsidRDefault="00675250" w:rsidP="00853341">
      <w:pPr>
        <w:pStyle w:val="Heading1"/>
        <w:rPr>
          <w:color w:val="5F497A" w:themeColor="accent4" w:themeShade="BF"/>
        </w:rPr>
      </w:pPr>
      <w:bookmarkStart w:id="3" w:name="_Toc215474954"/>
      <w:r w:rsidRPr="00547E49">
        <w:rPr>
          <w:color w:val="5F497A" w:themeColor="accent4" w:themeShade="BF"/>
        </w:rPr>
        <w:t>4. Reglas de negocio clave</w:t>
      </w:r>
      <w:bookmarkEnd w:id="3"/>
    </w:p>
    <w:p w14:paraId="01795B8B" w14:textId="4376202A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Llave AP: se busca primero el FOLIOCONVENIO de convenios legados Soriana; si no existe, se intenta City; si tampoco, se usa acuerdo de convenios SAP. Se consulta AP con LIKE %llave% junto con vendor y rango de fechas.</w:t>
      </w:r>
    </w:p>
    <w:p w14:paraId="27B98464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Cruce de compras/devoluciones: se llenan por año/mes en la plantilla; compras en columnas E/H (actual/anterior) y devoluciones en F/I. Los valores “-” se tratan como 0 para recálculos internos.</w:t>
      </w:r>
    </w:p>
    <w:p w14:paraId="1318C035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Crecimiento (%): se recalcula internamente como (BaseActual / BaseAnterior)*100 - 100, donde BaseActual = (E–F) y BaseAnterior = (H–I); se usa para rangos que expresan límites en porcentaje.</w:t>
      </w:r>
    </w:p>
    <w:p w14:paraId="379261FF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Rangos de descuento (Porcentajes.xlsx):</w:t>
      </w:r>
    </w:p>
    <w:p w14:paraId="05C64054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Se toma la última versión (Id_Num_Ver máx) y, si hay varios, el convenio con Id_Num_Conv más alto del proveedor.</w:t>
      </w:r>
    </w:p>
    <w:p w14:paraId="219E99A7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Límites ≤ 100 se interpretan como rangos de crecimiento %; límites &gt; 100 como rangos en monto (se compara contra BaseActual).</w:t>
      </w:r>
    </w:p>
    <w:p w14:paraId="5C796BEA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lastRenderedPageBreak/>
        <w:t>Si el valor cae en un rango, se escribe Porc_Descontar/100 en la columna L (la columna M queda con su fórmula).</w:t>
      </w:r>
    </w:p>
    <w:p w14:paraId="392DDE74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AP en plantilla: se coloca en la columna N del año “actual” de cada bloque; si no hay llave o datos, se deja vacío.</w:t>
      </w:r>
    </w:p>
    <w:p w14:paraId="2FBBD7F1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Encabezado dinámico: B3 se llena con &lt;vendor&gt; &lt;NombreProveedor&gt; y B8 con el número de proveedor; el resto de filas usan fórmulas que referencian B8.</w:t>
      </w:r>
    </w:p>
    <w:p w14:paraId="5457FD2F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Salida individual: si no se pasa ruta, se genera EscalaCrec_filled.xlsx.</w:t>
      </w:r>
    </w:p>
    <w:p w14:paraId="4E98DC99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Ejecución masiva: un Excel de entrada con columnas vendor, fecha_ini, fecha_fin genera un archivo por proveedor en output/batch, nombrado &lt;vendor&gt;-&lt;NombreProveedor&gt;.xlsx (nombre saneado).</w:t>
      </w:r>
    </w:p>
    <w:p w14:paraId="5953C255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Plantilla base: se respeta formato, fórmulas y totales de EscalaCrec.xlsx; solo se escriben columnas de datos (E/H, F/I, N, L) y encabezados.</w:t>
      </w:r>
    </w:p>
    <w:p w14:paraId="156E7B8F" w14:textId="19E7BE9B" w:rsidR="001B241D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Datos auxiliares: Porcentajes.xlsx es la fuente única para rangos y porcentajes; si no hay filas para un proveedor, no se aplica descuento y se dejan las celdas L en blanco.</w:t>
      </w:r>
    </w:p>
    <w:p w14:paraId="7F7232B7" w14:textId="69A12E86" w:rsidR="00CB635D" w:rsidRPr="00853341" w:rsidRDefault="00675250" w:rsidP="00853341">
      <w:pPr>
        <w:pStyle w:val="Heading1"/>
        <w:rPr>
          <w:color w:val="5F497A" w:themeColor="accent4" w:themeShade="BF"/>
        </w:rPr>
      </w:pPr>
      <w:bookmarkStart w:id="4" w:name="_Toc215474955"/>
      <w:r w:rsidRPr="00547E49">
        <w:rPr>
          <w:color w:val="5F497A" w:themeColor="accent4" w:themeShade="BF"/>
        </w:rPr>
        <w:t>5. Entradas requeridas (data/input)</w:t>
      </w:r>
      <w:bookmarkEnd w:id="4"/>
    </w:p>
    <w:p w14:paraId="16B3F065" w14:textId="35304E6B" w:rsidR="00A427EA" w:rsidRDefault="00A427EA" w:rsidP="00A427EA">
      <w:pPr>
        <w:pStyle w:val="ListBullet"/>
        <w:rPr>
          <w:lang w:val="es-CO"/>
        </w:rPr>
      </w:pPr>
      <w:r w:rsidRPr="00A427EA">
        <w:rPr>
          <w:lang w:val="pt-BR"/>
        </w:rPr>
        <w:t xml:space="preserve">Porcentajes.xlsx: columnas obligatorias ID, Num_Prov, Negocio, origen, Id_Num_Conv, Id_Num_Ver, Id_Cnsc_Esc, Imp_LimInf, Imp_LimSup, Num_Subtipo, Porc_Descontar. </w:t>
      </w:r>
      <w:r w:rsidRPr="00A427EA">
        <w:rPr>
          <w:lang w:val="es-CO"/>
        </w:rPr>
        <w:t>Se usa para determinar el porcentaje de descuento por proveedor/convenio/versión y aplicar rangos por monto o por crecimiento %.</w:t>
      </w:r>
    </w:p>
    <w:p w14:paraId="3D3B86DC" w14:textId="77777777" w:rsidR="007E58FE" w:rsidRDefault="007E58FE" w:rsidP="007E58FE">
      <w:pPr>
        <w:pStyle w:val="ListBullet"/>
        <w:numPr>
          <w:ilvl w:val="0"/>
          <w:numId w:val="0"/>
        </w:numPr>
        <w:ind w:left="360" w:hanging="360"/>
        <w:rPr>
          <w:lang w:val="es-CO"/>
        </w:rPr>
      </w:pPr>
    </w:p>
    <w:p w14:paraId="4614FDCF" w14:textId="7D3F4343" w:rsidR="007E58FE" w:rsidRDefault="007E58FE" w:rsidP="007E58FE">
      <w:pPr>
        <w:pStyle w:val="ListBullet"/>
        <w:numPr>
          <w:ilvl w:val="0"/>
          <w:numId w:val="0"/>
        </w:numPr>
        <w:ind w:left="360" w:hanging="360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7F0457DF" wp14:editId="503B2B87">
            <wp:extent cx="4533900" cy="2154127"/>
            <wp:effectExtent l="0" t="0" r="0" b="0"/>
            <wp:docPr id="173396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64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977" cy="215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98DC" w14:textId="77777777" w:rsidR="007E58FE" w:rsidRDefault="007E58FE" w:rsidP="007E58FE">
      <w:pPr>
        <w:pStyle w:val="ListBullet"/>
        <w:numPr>
          <w:ilvl w:val="0"/>
          <w:numId w:val="0"/>
        </w:numPr>
        <w:ind w:left="360" w:hanging="360"/>
        <w:rPr>
          <w:lang w:val="es-CO"/>
        </w:rPr>
      </w:pPr>
    </w:p>
    <w:p w14:paraId="34B5B918" w14:textId="77777777" w:rsidR="007E58FE" w:rsidRPr="00A427EA" w:rsidRDefault="007E58FE" w:rsidP="007E58FE">
      <w:pPr>
        <w:pStyle w:val="ListBullet"/>
        <w:numPr>
          <w:ilvl w:val="0"/>
          <w:numId w:val="0"/>
        </w:numPr>
        <w:rPr>
          <w:lang w:val="es-CO"/>
        </w:rPr>
      </w:pPr>
    </w:p>
    <w:p w14:paraId="101A1143" w14:textId="77777777" w:rsid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Excel de lote (opcional, para batch_runner): columnas vendor, fecha_ini, fecha_fin (se aceptan alias: Num_Prov, fecha_inicio, fecha_final, etc.). Cada fila dispara una ejecución y genera un archivo por proveedor.</w:t>
      </w:r>
    </w:p>
    <w:p w14:paraId="4F26EF07" w14:textId="77777777" w:rsidR="007E58FE" w:rsidRPr="00A427EA" w:rsidRDefault="007E58FE" w:rsidP="007E58FE">
      <w:pPr>
        <w:pStyle w:val="ListBullet"/>
        <w:numPr>
          <w:ilvl w:val="0"/>
          <w:numId w:val="0"/>
        </w:numPr>
        <w:ind w:left="360" w:hanging="360"/>
        <w:rPr>
          <w:lang w:val="es-CO"/>
        </w:rPr>
      </w:pPr>
    </w:p>
    <w:p w14:paraId="5314DE27" w14:textId="77777777" w:rsidR="00A427EA" w:rsidRP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t>Logotipos: Soriana-Logo.png y Prgx-Logo.png (en input/) para mostrarlos en la GUI; el reporte final usa la plantilla ya formateada.</w:t>
      </w:r>
    </w:p>
    <w:p w14:paraId="629B5B74" w14:textId="77777777" w:rsidR="00A427EA" w:rsidRDefault="00A427EA" w:rsidP="00A427EA">
      <w:pPr>
        <w:pStyle w:val="ListBullet"/>
        <w:rPr>
          <w:lang w:val="es-CO"/>
        </w:rPr>
      </w:pPr>
      <w:r w:rsidRPr="00A427EA">
        <w:rPr>
          <w:lang w:val="es-CO"/>
        </w:rPr>
        <w:lastRenderedPageBreak/>
        <w:t>Plantilla del reporte (no en input pero requerida): EscalaCrec.xlsx, contiene estilo y fórmulas del libro de salida.</w:t>
      </w:r>
    </w:p>
    <w:p w14:paraId="09428E28" w14:textId="77777777" w:rsidR="007E58FE" w:rsidRDefault="007E58FE" w:rsidP="007E58FE">
      <w:pPr>
        <w:pStyle w:val="ListBullet"/>
        <w:numPr>
          <w:ilvl w:val="0"/>
          <w:numId w:val="0"/>
        </w:numPr>
        <w:ind w:left="360"/>
        <w:rPr>
          <w:lang w:val="es-CO"/>
        </w:rPr>
      </w:pPr>
    </w:p>
    <w:p w14:paraId="33849F75" w14:textId="23B19439" w:rsidR="007E58FE" w:rsidRDefault="007E58FE" w:rsidP="007E58FE">
      <w:pPr>
        <w:pStyle w:val="ListBullet"/>
        <w:numPr>
          <w:ilvl w:val="0"/>
          <w:numId w:val="0"/>
        </w:numPr>
        <w:ind w:left="360" w:hanging="360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6E90210D" wp14:editId="7861DD0B">
            <wp:extent cx="5722614" cy="2446020"/>
            <wp:effectExtent l="0" t="0" r="0" b="0"/>
            <wp:docPr id="47777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72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934" cy="24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C1D" w14:textId="77777777" w:rsidR="007E58FE" w:rsidRDefault="007E58FE" w:rsidP="007E58FE">
      <w:pPr>
        <w:pStyle w:val="ListBullet"/>
        <w:numPr>
          <w:ilvl w:val="0"/>
          <w:numId w:val="0"/>
        </w:numPr>
        <w:ind w:left="360" w:hanging="360"/>
        <w:rPr>
          <w:lang w:val="es-CO"/>
        </w:rPr>
      </w:pPr>
    </w:p>
    <w:p w14:paraId="0AA71575" w14:textId="77777777" w:rsidR="007E58FE" w:rsidRPr="00A427EA" w:rsidRDefault="007E58FE" w:rsidP="007E58FE">
      <w:pPr>
        <w:pStyle w:val="ListBullet"/>
        <w:numPr>
          <w:ilvl w:val="0"/>
          <w:numId w:val="0"/>
        </w:numPr>
        <w:ind w:left="360" w:hanging="360"/>
        <w:rPr>
          <w:lang w:val="es-CO"/>
        </w:rPr>
      </w:pPr>
    </w:p>
    <w:p w14:paraId="145509C8" w14:textId="7F879D61" w:rsidR="00017C3B" w:rsidRPr="007E58FE" w:rsidRDefault="00A427EA" w:rsidP="007E58FE">
      <w:pPr>
        <w:pStyle w:val="ListBullet"/>
        <w:rPr>
          <w:lang w:val="es-CO"/>
        </w:rPr>
      </w:pPr>
      <w:r w:rsidRPr="00A427EA">
        <w:rPr>
          <w:lang w:val="es-CO"/>
        </w:rPr>
        <w:t>Base de datos (no archivo local): consultas SQL apuntan a SORIANA_PROJECTS en ATL20AF2222SQ19 (configurado en db.py), por lo que se requiere conectividad y ODBC Driver 18 instalados.</w:t>
      </w:r>
    </w:p>
    <w:p w14:paraId="3FA91E4A" w14:textId="517F85FE" w:rsidR="001B241D" w:rsidRPr="00547E49" w:rsidRDefault="00675250">
      <w:pPr>
        <w:pStyle w:val="Heading1"/>
        <w:rPr>
          <w:color w:val="5F497A" w:themeColor="accent4" w:themeShade="BF"/>
        </w:rPr>
      </w:pPr>
      <w:bookmarkStart w:id="5" w:name="_Toc215474956"/>
      <w:r w:rsidRPr="00547E49">
        <w:rPr>
          <w:color w:val="5F497A" w:themeColor="accent4" w:themeShade="BF"/>
        </w:rPr>
        <w:t>6. Salidas generadas (data/output)</w:t>
      </w:r>
      <w:bookmarkEnd w:id="5"/>
    </w:p>
    <w:p w14:paraId="51ACD483" w14:textId="23F650A6" w:rsidR="007E58FE" w:rsidRDefault="007E58FE" w:rsidP="007E58FE">
      <w:pPr>
        <w:pStyle w:val="ListBullet"/>
        <w:rPr>
          <w:lang w:val="es-CO"/>
        </w:rPr>
      </w:pPr>
      <w:r w:rsidRPr="007E58FE">
        <w:rPr>
          <w:lang w:val="es-CO"/>
        </w:rPr>
        <w:t>EscalaCrec_filled.xlsx (ejecución individual): reporte completo del proveedor solicitado con compras, devoluciones, AP, porcentajes aplicados y fórmulas de la plantilla.</w:t>
      </w:r>
    </w:p>
    <w:p w14:paraId="51A1FB1F" w14:textId="77777777" w:rsidR="007E58FE" w:rsidRPr="007E58FE" w:rsidRDefault="007E58FE" w:rsidP="007E58FE">
      <w:pPr>
        <w:pStyle w:val="ListBullet"/>
        <w:numPr>
          <w:ilvl w:val="0"/>
          <w:numId w:val="0"/>
        </w:numPr>
        <w:ind w:left="360"/>
        <w:rPr>
          <w:lang w:val="es-CO"/>
        </w:rPr>
      </w:pPr>
    </w:p>
    <w:p w14:paraId="55FBCB8E" w14:textId="03C2C442" w:rsidR="001B241D" w:rsidRDefault="007E58FE" w:rsidP="007E58FE">
      <w:pPr>
        <w:pStyle w:val="ListBullet"/>
        <w:rPr>
          <w:lang w:val="es-CO"/>
        </w:rPr>
      </w:pPr>
      <w:r w:rsidRPr="007E58FE">
        <w:rPr>
          <w:lang w:val="es-CO"/>
        </w:rPr>
        <w:t>*.xlsx (ejecución masiva): un archivo por proveedor, nombrado &lt;vendor&gt;-&lt;NombreProveedor&gt;.xlsx, con el mismo formato que el individual.</w:t>
      </w:r>
    </w:p>
    <w:p w14:paraId="59E43796" w14:textId="77777777" w:rsidR="0066329E" w:rsidRPr="007E58FE" w:rsidRDefault="0066329E" w:rsidP="0066329E">
      <w:pPr>
        <w:pStyle w:val="ListBullet"/>
        <w:numPr>
          <w:ilvl w:val="0"/>
          <w:numId w:val="0"/>
        </w:numPr>
        <w:rPr>
          <w:lang w:val="es-CO"/>
        </w:rPr>
      </w:pPr>
    </w:p>
    <w:p w14:paraId="2817A2B2" w14:textId="794D2AEE" w:rsidR="008F5B70" w:rsidRDefault="0066329E" w:rsidP="008F5B70">
      <w:pPr>
        <w:pStyle w:val="ListBullet"/>
        <w:numPr>
          <w:ilvl w:val="0"/>
          <w:numId w:val="0"/>
        </w:numPr>
        <w:ind w:left="360" w:hanging="360"/>
        <w:rPr>
          <w:lang w:val="es-CO"/>
        </w:rPr>
      </w:pPr>
      <w:r>
        <w:rPr>
          <w:noProof/>
        </w:rPr>
        <w:drawing>
          <wp:inline distT="0" distB="0" distL="0" distR="0" wp14:anchorId="2074E074" wp14:editId="64E2B2CE">
            <wp:extent cx="5825322" cy="2499360"/>
            <wp:effectExtent l="0" t="0" r="4445" b="0"/>
            <wp:docPr id="18929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83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1988" cy="25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37B6" w14:textId="77777777" w:rsidR="0066329E" w:rsidRPr="00675250" w:rsidRDefault="0066329E" w:rsidP="008F5B70">
      <w:pPr>
        <w:pStyle w:val="ListBullet"/>
        <w:numPr>
          <w:ilvl w:val="0"/>
          <w:numId w:val="0"/>
        </w:numPr>
        <w:ind w:left="360" w:hanging="360"/>
        <w:rPr>
          <w:lang w:val="es-CO"/>
        </w:rPr>
      </w:pPr>
    </w:p>
    <w:p w14:paraId="17C64B7F" w14:textId="6782AA5C" w:rsidR="00BD68A1" w:rsidRPr="00853341" w:rsidRDefault="00675250" w:rsidP="00853341">
      <w:pPr>
        <w:pStyle w:val="Heading1"/>
        <w:rPr>
          <w:color w:val="5F497A" w:themeColor="accent4" w:themeShade="BF"/>
        </w:rPr>
      </w:pPr>
      <w:bookmarkStart w:id="6" w:name="_Toc215474957"/>
      <w:r w:rsidRPr="00547E49">
        <w:rPr>
          <w:color w:val="5F497A" w:themeColor="accent4" w:themeShade="BF"/>
        </w:rPr>
        <w:t>7. Ejecución y dependencias</w:t>
      </w:r>
      <w:bookmarkEnd w:id="6"/>
    </w:p>
    <w:p w14:paraId="6206D566" w14:textId="1D45F728" w:rsidR="00937EF9" w:rsidRPr="00853341" w:rsidRDefault="00937EF9" w:rsidP="00937EF9">
      <w:pPr>
        <w:pStyle w:val="ListBullet"/>
        <w:rPr>
          <w:lang w:val="es-CO"/>
        </w:rPr>
      </w:pPr>
      <w:r w:rsidRPr="00937EF9">
        <w:rPr>
          <w:lang w:val="es-CO"/>
        </w:rPr>
        <w:t xml:space="preserve">Requisitos: Python 3.x, ODBC Driver 18 para SQL Server, dependencias del proyecto (pandas, openpyxl, pyodbc, tkinter incluido en la mayoría de instalaciones). </w:t>
      </w:r>
      <w:r w:rsidRPr="00853341">
        <w:rPr>
          <w:lang w:val="es-CO"/>
        </w:rPr>
        <w:t>Si usas lote o GUI, las mismas aplican.</w:t>
      </w:r>
    </w:p>
    <w:p w14:paraId="1A34325B" w14:textId="77777777" w:rsidR="00937EF9" w:rsidRPr="00853341" w:rsidRDefault="00937EF9" w:rsidP="00937EF9">
      <w:pPr>
        <w:pStyle w:val="ListBullet"/>
        <w:numPr>
          <w:ilvl w:val="0"/>
          <w:numId w:val="0"/>
        </w:numPr>
        <w:ind w:left="360"/>
        <w:rPr>
          <w:lang w:val="es-CO"/>
        </w:rPr>
      </w:pPr>
    </w:p>
    <w:p w14:paraId="3B359235" w14:textId="77777777" w:rsidR="00937EF9" w:rsidRDefault="00937EF9" w:rsidP="00937EF9">
      <w:pPr>
        <w:pStyle w:val="ListBullet"/>
        <w:rPr>
          <w:lang w:val="es-CO"/>
        </w:rPr>
      </w:pPr>
      <w:r w:rsidRPr="00937EF9">
        <w:rPr>
          <w:lang w:val="es-CO"/>
        </w:rPr>
        <w:t>Configuración de BD: db.py apunta a ATL20AF2222SQ19 / base SORIANA_PROJECTS con conexión integrada; necesitas red/credenciales válidas.</w:t>
      </w:r>
    </w:p>
    <w:p w14:paraId="13769B81" w14:textId="77777777" w:rsidR="00937EF9" w:rsidRPr="00937EF9" w:rsidRDefault="00937EF9" w:rsidP="00937EF9">
      <w:pPr>
        <w:pStyle w:val="ListBullet"/>
        <w:numPr>
          <w:ilvl w:val="0"/>
          <w:numId w:val="0"/>
        </w:numPr>
        <w:rPr>
          <w:lang w:val="es-CO"/>
        </w:rPr>
      </w:pPr>
    </w:p>
    <w:p w14:paraId="1DAB997D" w14:textId="28D4B20F" w:rsidR="00937EF9" w:rsidRPr="00937EF9" w:rsidRDefault="00937EF9" w:rsidP="00937EF9">
      <w:pPr>
        <w:pStyle w:val="ListBullet"/>
      </w:pPr>
      <w:r w:rsidRPr="00937EF9">
        <w:t>Ejecución individual (CLI):</w:t>
      </w:r>
    </w:p>
    <w:p w14:paraId="1136C12A" w14:textId="5B2C1C89" w:rsidR="00937EF9" w:rsidRDefault="00937EF9" w:rsidP="00937EF9">
      <w:pPr>
        <w:pStyle w:val="ListBullet"/>
        <w:numPr>
          <w:ilvl w:val="0"/>
          <w:numId w:val="0"/>
        </w:numPr>
        <w:rPr>
          <w:lang w:val="es-CO"/>
        </w:rPr>
      </w:pPr>
    </w:p>
    <w:p w14:paraId="4E84F768" w14:textId="77777777" w:rsidR="00937EF9" w:rsidRPr="00660EBF" w:rsidRDefault="00937EF9" w:rsidP="00660EBF">
      <w:pPr>
        <w:pStyle w:val="ListBullet"/>
        <w:numPr>
          <w:ilvl w:val="0"/>
          <w:numId w:val="0"/>
        </w:numPr>
        <w:ind w:left="720"/>
        <w:rPr>
          <w:rFonts w:ascii="Consolas" w:hAnsi="Consolas"/>
          <w:lang w:val="es-CO"/>
        </w:rPr>
      </w:pPr>
      <w:r w:rsidRPr="00660EBF">
        <w:rPr>
          <w:rFonts w:ascii="Consolas" w:hAnsi="Consolas"/>
          <w:lang w:val="es-CO"/>
        </w:rPr>
        <w:t>@'</w:t>
      </w:r>
    </w:p>
    <w:p w14:paraId="5E141F61" w14:textId="77777777" w:rsidR="00937EF9" w:rsidRPr="00660EBF" w:rsidRDefault="00937EF9" w:rsidP="00660EBF">
      <w:pPr>
        <w:pStyle w:val="ListBullet"/>
        <w:numPr>
          <w:ilvl w:val="0"/>
          <w:numId w:val="0"/>
        </w:numPr>
        <w:ind w:left="720"/>
        <w:rPr>
          <w:rFonts w:ascii="Consolas" w:hAnsi="Consolas"/>
        </w:rPr>
      </w:pPr>
      <w:r w:rsidRPr="00660EBF">
        <w:rPr>
          <w:rFonts w:ascii="Consolas" w:hAnsi="Consolas"/>
        </w:rPr>
        <w:t>from src.reporting.template_filler import generate_escalacrec_report</w:t>
      </w:r>
    </w:p>
    <w:p w14:paraId="4504BAD5" w14:textId="77777777" w:rsidR="00937EF9" w:rsidRPr="00660EBF" w:rsidRDefault="00937EF9" w:rsidP="00660EBF">
      <w:pPr>
        <w:pStyle w:val="ListBullet"/>
        <w:numPr>
          <w:ilvl w:val="0"/>
          <w:numId w:val="0"/>
        </w:numPr>
        <w:ind w:left="720"/>
        <w:rPr>
          <w:rFonts w:ascii="Consolas" w:hAnsi="Consolas"/>
        </w:rPr>
      </w:pPr>
      <w:r w:rsidRPr="00660EBF">
        <w:rPr>
          <w:rFonts w:ascii="Consolas" w:hAnsi="Consolas"/>
        </w:rPr>
        <w:t>out = generate_escalacrec_report("334177", "2020-01-01", "2025-12-31")</w:t>
      </w:r>
    </w:p>
    <w:p w14:paraId="61805B1D" w14:textId="77777777" w:rsidR="00937EF9" w:rsidRPr="00660EBF" w:rsidRDefault="00937EF9" w:rsidP="00660EBF">
      <w:pPr>
        <w:pStyle w:val="ListBullet"/>
        <w:numPr>
          <w:ilvl w:val="0"/>
          <w:numId w:val="0"/>
        </w:numPr>
        <w:ind w:left="720"/>
        <w:rPr>
          <w:rFonts w:ascii="Consolas" w:hAnsi="Consolas"/>
        </w:rPr>
      </w:pPr>
      <w:r w:rsidRPr="00660EBF">
        <w:rPr>
          <w:rFonts w:ascii="Consolas" w:hAnsi="Consolas"/>
        </w:rPr>
        <w:t>print(out)</w:t>
      </w:r>
    </w:p>
    <w:p w14:paraId="0DE26B87" w14:textId="3A83CFA2" w:rsidR="00937EF9" w:rsidRPr="00660EBF" w:rsidRDefault="00937EF9" w:rsidP="00660EBF">
      <w:pPr>
        <w:pStyle w:val="ListBullet"/>
        <w:numPr>
          <w:ilvl w:val="0"/>
          <w:numId w:val="0"/>
        </w:numPr>
        <w:ind w:left="720"/>
        <w:rPr>
          <w:rFonts w:ascii="Consolas" w:hAnsi="Consolas"/>
        </w:rPr>
      </w:pPr>
      <w:r w:rsidRPr="00660EBF">
        <w:rPr>
          <w:rFonts w:ascii="Consolas" w:hAnsi="Consolas"/>
        </w:rPr>
        <w:t xml:space="preserve">'@ | python </w:t>
      </w:r>
      <w:r w:rsidRPr="00660EBF">
        <w:rPr>
          <w:rFonts w:ascii="Consolas" w:hAnsi="Consolas"/>
        </w:rPr>
        <w:t>–</w:t>
      </w:r>
    </w:p>
    <w:p w14:paraId="4B317F45" w14:textId="77777777" w:rsidR="00937EF9" w:rsidRDefault="00937EF9" w:rsidP="00937EF9">
      <w:pPr>
        <w:pStyle w:val="ListBullet"/>
        <w:numPr>
          <w:ilvl w:val="0"/>
          <w:numId w:val="0"/>
        </w:numPr>
        <w:ind w:left="360"/>
      </w:pPr>
    </w:p>
    <w:p w14:paraId="22F0E229" w14:textId="0E20F752" w:rsidR="00F170AC" w:rsidRPr="00F170AC" w:rsidRDefault="00937EF9" w:rsidP="00F170AC">
      <w:pPr>
        <w:pStyle w:val="ListBullet"/>
        <w:numPr>
          <w:ilvl w:val="0"/>
          <w:numId w:val="0"/>
        </w:numPr>
        <w:ind w:left="360"/>
        <w:rPr>
          <w:rFonts w:ascii="Consolas" w:hAnsi="Consolas"/>
        </w:rPr>
      </w:pPr>
      <w:r>
        <w:t>O con GUI</w:t>
      </w:r>
      <w:r w:rsidR="00F170AC">
        <w:t>:</w:t>
      </w:r>
      <w:r w:rsidR="00F170AC" w:rsidRPr="00F170AC">
        <w:rPr>
          <w:rFonts w:ascii="Consolas" w:hAnsi="Consolas"/>
          <w:color w:val="CCCCCC"/>
          <w:sz w:val="21"/>
          <w:szCs w:val="21"/>
        </w:rPr>
        <w:t xml:space="preserve"> </w:t>
      </w:r>
      <w:r w:rsidR="00F170AC" w:rsidRPr="00660EBF">
        <w:rPr>
          <w:rFonts w:ascii="Consolas" w:hAnsi="Consolas"/>
        </w:rPr>
        <w:t>python -m src.reporting.gui_runner</w:t>
      </w:r>
    </w:p>
    <w:p w14:paraId="25A45F59" w14:textId="77777777" w:rsidR="00937EF9" w:rsidRPr="00937EF9" w:rsidRDefault="00937EF9" w:rsidP="00937EF9">
      <w:pPr>
        <w:pStyle w:val="ListBullet"/>
        <w:numPr>
          <w:ilvl w:val="0"/>
          <w:numId w:val="0"/>
        </w:numPr>
        <w:ind w:left="360" w:hanging="360"/>
      </w:pPr>
    </w:p>
    <w:p w14:paraId="16A5D47A" w14:textId="1E5DF8E4" w:rsidR="00F170AC" w:rsidRDefault="00F170AC" w:rsidP="00F170AC">
      <w:pPr>
        <w:pStyle w:val="ListBullet"/>
      </w:pPr>
      <w:r w:rsidRPr="00F170AC">
        <w:t>Ejecución por lote:</w:t>
      </w:r>
    </w:p>
    <w:p w14:paraId="3190CD63" w14:textId="77777777" w:rsidR="00F170AC" w:rsidRDefault="00F170AC" w:rsidP="00F170AC">
      <w:pPr>
        <w:pStyle w:val="ListBullet"/>
        <w:numPr>
          <w:ilvl w:val="0"/>
          <w:numId w:val="0"/>
        </w:numPr>
        <w:ind w:left="360" w:hanging="360"/>
      </w:pPr>
    </w:p>
    <w:p w14:paraId="527B1852" w14:textId="3A8F6BB7" w:rsidR="00F170AC" w:rsidRPr="00660EBF" w:rsidRDefault="00F170AC" w:rsidP="00F170AC">
      <w:pPr>
        <w:pStyle w:val="ListBullet"/>
        <w:numPr>
          <w:ilvl w:val="0"/>
          <w:numId w:val="0"/>
        </w:numPr>
        <w:ind w:left="720"/>
        <w:rPr>
          <w:rFonts w:ascii="Consolas" w:hAnsi="Consolas"/>
        </w:rPr>
      </w:pPr>
      <w:r w:rsidRPr="00660EBF">
        <w:rPr>
          <w:rFonts w:ascii="Consolas" w:hAnsi="Consolas"/>
        </w:rPr>
        <w:t>python -m src.reporting.batch_runner input/proveedores.xlsx</w:t>
      </w:r>
    </w:p>
    <w:p w14:paraId="2E00003B" w14:textId="72D4F959" w:rsidR="00BD68A1" w:rsidRPr="00F170AC" w:rsidRDefault="00BD68A1" w:rsidP="00BD68A1">
      <w:pPr>
        <w:pStyle w:val="ListBullet"/>
        <w:numPr>
          <w:ilvl w:val="0"/>
          <w:numId w:val="0"/>
        </w:numPr>
      </w:pPr>
    </w:p>
    <w:p w14:paraId="56B41508" w14:textId="1ACE89E7" w:rsidR="00BD68A1" w:rsidRPr="00853341" w:rsidRDefault="00675250" w:rsidP="00853341">
      <w:pPr>
        <w:pStyle w:val="Heading1"/>
        <w:rPr>
          <w:color w:val="5F497A" w:themeColor="accent4" w:themeShade="BF"/>
          <w:lang w:val="es-CO"/>
        </w:rPr>
      </w:pPr>
      <w:bookmarkStart w:id="7" w:name="_Toc215474958"/>
      <w:r w:rsidRPr="00547E49">
        <w:rPr>
          <w:color w:val="5F497A" w:themeColor="accent4" w:themeShade="BF"/>
          <w:lang w:val="es-CO"/>
        </w:rPr>
        <w:t>8. Notas de mantenimiento y extensiones sugeridas</w:t>
      </w:r>
      <w:bookmarkEnd w:id="7"/>
    </w:p>
    <w:p w14:paraId="1EF898F1" w14:textId="4132899E" w:rsidR="00F30C07" w:rsidRDefault="00F30C07" w:rsidP="00F30C07">
      <w:pPr>
        <w:pStyle w:val="ListBullet"/>
        <w:rPr>
          <w:lang w:val="es-CO"/>
        </w:rPr>
      </w:pPr>
      <w:r w:rsidRPr="00F30C07">
        <w:rPr>
          <w:lang w:val="es-CO"/>
        </w:rPr>
        <w:t>Si cambian rutas de plantillas o insumos, ajusta db.py (conexión) y las rutas de Porcentajes.xlsx/logos/plantilla en template_filler.py y gui_runner.py.</w:t>
      </w:r>
    </w:p>
    <w:p w14:paraId="19B637A8" w14:textId="77777777" w:rsidR="00F30C07" w:rsidRPr="00F30C07" w:rsidRDefault="00F30C07" w:rsidP="00F30C07">
      <w:pPr>
        <w:pStyle w:val="ListBullet"/>
        <w:numPr>
          <w:ilvl w:val="0"/>
          <w:numId w:val="0"/>
        </w:numPr>
        <w:ind w:left="360"/>
        <w:rPr>
          <w:lang w:val="es-CO"/>
        </w:rPr>
      </w:pPr>
    </w:p>
    <w:p w14:paraId="42100761" w14:textId="77777777" w:rsidR="00F30C07" w:rsidRDefault="00F30C07" w:rsidP="00F30C07">
      <w:pPr>
        <w:pStyle w:val="ListBullet"/>
        <w:rPr>
          <w:lang w:val="es-CO"/>
        </w:rPr>
      </w:pPr>
      <w:r w:rsidRPr="00F30C07">
        <w:rPr>
          <w:lang w:val="es-CO"/>
        </w:rPr>
        <w:t>Nuevos criterios de descuento: extender _apply_porcentajes para aceptar otras lógicas (p.ej., tipos de rango o fuentes adicionales).</w:t>
      </w:r>
    </w:p>
    <w:p w14:paraId="55C947AB" w14:textId="77777777" w:rsidR="00F30C07" w:rsidRPr="00F30C07" w:rsidRDefault="00F30C07" w:rsidP="00F30C07">
      <w:pPr>
        <w:pStyle w:val="ListBullet"/>
        <w:numPr>
          <w:ilvl w:val="0"/>
          <w:numId w:val="0"/>
        </w:numPr>
        <w:rPr>
          <w:lang w:val="es-CO"/>
        </w:rPr>
      </w:pPr>
    </w:p>
    <w:p w14:paraId="7BF7E60F" w14:textId="77777777" w:rsidR="00F30C07" w:rsidRDefault="00F30C07" w:rsidP="00F30C07">
      <w:pPr>
        <w:pStyle w:val="ListBullet"/>
        <w:rPr>
          <w:lang w:val="es-CO"/>
        </w:rPr>
      </w:pPr>
      <w:r w:rsidRPr="00F30C07">
        <w:rPr>
          <w:lang w:val="es-CO"/>
        </w:rPr>
        <w:t>Validaciones: agregar checks de esquema/columnas antes de procesar (por ejemplo, assert de columnas mínimas en Porcentajes.xlsx y en el Excel de lote).</w:t>
      </w:r>
    </w:p>
    <w:p w14:paraId="1C03AD25" w14:textId="77777777" w:rsidR="00F30C07" w:rsidRPr="00F30C07" w:rsidRDefault="00F30C07" w:rsidP="00F30C07">
      <w:pPr>
        <w:pStyle w:val="ListBullet"/>
        <w:numPr>
          <w:ilvl w:val="0"/>
          <w:numId w:val="0"/>
        </w:numPr>
        <w:rPr>
          <w:lang w:val="es-CO"/>
        </w:rPr>
      </w:pPr>
    </w:p>
    <w:p w14:paraId="7041B4C6" w14:textId="77777777" w:rsidR="00F30C07" w:rsidRDefault="00F30C07" w:rsidP="00F30C07">
      <w:pPr>
        <w:pStyle w:val="ListBullet"/>
        <w:rPr>
          <w:lang w:val="es-CO"/>
        </w:rPr>
      </w:pPr>
      <w:r w:rsidRPr="00F30C07">
        <w:rPr>
          <w:lang w:val="es-CO"/>
        </w:rPr>
        <w:t>Pruebas: incluir tests para cálculo de crecimiento, selección de rangos y formateo de nombre de archivo, para detectar regresiones.</w:t>
      </w:r>
    </w:p>
    <w:p w14:paraId="7A2817F9" w14:textId="77777777" w:rsidR="00F30C07" w:rsidRPr="00F30C07" w:rsidRDefault="00F30C07" w:rsidP="00F30C07">
      <w:pPr>
        <w:pStyle w:val="ListBullet"/>
        <w:numPr>
          <w:ilvl w:val="0"/>
          <w:numId w:val="0"/>
        </w:numPr>
        <w:rPr>
          <w:lang w:val="es-CO"/>
        </w:rPr>
      </w:pPr>
    </w:p>
    <w:p w14:paraId="3E4C1EE2" w14:textId="3F0DD962" w:rsidR="001B241D" w:rsidRPr="00F30C07" w:rsidRDefault="00F30C07" w:rsidP="00F30C07">
      <w:pPr>
        <w:pStyle w:val="ListBullet"/>
        <w:rPr>
          <w:lang w:val="es-CO"/>
        </w:rPr>
      </w:pPr>
      <w:r w:rsidRPr="00F30C07">
        <w:rPr>
          <w:lang w:val="es-CO"/>
        </w:rPr>
        <w:lastRenderedPageBreak/>
        <w:t>Resumen adicional: si se necesita un consolidado más detallado (por inmueble u otra dimensión), incorporar un builder específico que agrupe los dataframes ya extraídos antes de enviar a plantilla.</w:t>
      </w:r>
    </w:p>
    <w:p w14:paraId="09499E52" w14:textId="63DCBE9D" w:rsidR="001B241D" w:rsidRPr="00547E49" w:rsidRDefault="00675250">
      <w:pPr>
        <w:pStyle w:val="Heading1"/>
        <w:rPr>
          <w:color w:val="5F497A" w:themeColor="accent4" w:themeShade="BF"/>
          <w:lang w:val="es-CO"/>
        </w:rPr>
      </w:pPr>
      <w:bookmarkStart w:id="8" w:name="_Toc215474959"/>
      <w:r w:rsidRPr="00547E49">
        <w:rPr>
          <w:color w:val="5F497A" w:themeColor="accent4" w:themeShade="BF"/>
          <w:lang w:val="es-CO"/>
        </w:rPr>
        <w:t xml:space="preserve">9. </w:t>
      </w:r>
      <w:r w:rsidR="00BD68A1">
        <w:rPr>
          <w:color w:val="5F497A" w:themeColor="accent4" w:themeShade="BF"/>
          <w:lang w:val="es-CO"/>
        </w:rPr>
        <w:t>Enlace repositorio proyecto.</w:t>
      </w:r>
      <w:bookmarkEnd w:id="8"/>
    </w:p>
    <w:p w14:paraId="684B5793" w14:textId="736A0FEC" w:rsidR="001B241D" w:rsidRDefault="001B241D">
      <w:pPr>
        <w:rPr>
          <w:lang w:val="es-CO"/>
        </w:rPr>
      </w:pPr>
    </w:p>
    <w:p w14:paraId="42881FF0" w14:textId="31A31A7E" w:rsidR="00BD68A1" w:rsidRPr="00213F0B" w:rsidRDefault="00BD68A1">
      <w:pPr>
        <w:rPr>
          <w:lang w:val="es-CO"/>
        </w:rPr>
      </w:pPr>
      <w:r>
        <w:rPr>
          <w:lang w:val="es-CO"/>
        </w:rPr>
        <w:t xml:space="preserve">Enlace: </w:t>
      </w:r>
      <w:hyperlink r:id="rId13" w:history="1">
        <w:r w:rsidR="00D06F2A">
          <w:rPr>
            <w:rStyle w:val="Hyperlink"/>
            <w:lang w:val="es-CO"/>
          </w:rPr>
          <w:t>GitHub - Automation-EscalaCrec</w:t>
        </w:r>
      </w:hyperlink>
    </w:p>
    <w:p w14:paraId="40B3B79B" w14:textId="77777777" w:rsidR="00213F0B" w:rsidRPr="00213F0B" w:rsidRDefault="00213F0B">
      <w:pPr>
        <w:rPr>
          <w:lang w:val="es-CO"/>
        </w:rPr>
      </w:pPr>
    </w:p>
    <w:p w14:paraId="53843732" w14:textId="68165DE3" w:rsidR="00213F0B" w:rsidRPr="00213F0B" w:rsidRDefault="00721EFF" w:rsidP="00213F0B">
      <w:pPr>
        <w:jc w:val="center"/>
        <w:rPr>
          <w:lang w:val="es-CO"/>
        </w:rPr>
      </w:pPr>
      <w:r>
        <w:rPr>
          <w:noProof/>
        </w:rPr>
        <w:drawing>
          <wp:inline distT="0" distB="0" distL="0" distR="0" wp14:anchorId="3D1CCBB8" wp14:editId="2618FFF1">
            <wp:extent cx="5996940" cy="4608759"/>
            <wp:effectExtent l="0" t="0" r="3810" b="1905"/>
            <wp:docPr id="126980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2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4989" cy="46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F0B" w:rsidRPr="00213F0B" w:rsidSect="00034616">
      <w:head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EEDD8" w14:textId="77777777" w:rsidR="00640396" w:rsidRDefault="00640396" w:rsidP="00675250">
      <w:pPr>
        <w:spacing w:after="0" w:line="240" w:lineRule="auto"/>
      </w:pPr>
      <w:r>
        <w:separator/>
      </w:r>
    </w:p>
  </w:endnote>
  <w:endnote w:type="continuationSeparator" w:id="0">
    <w:p w14:paraId="7549DE9C" w14:textId="77777777" w:rsidR="00640396" w:rsidRDefault="00640396" w:rsidP="00675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69D28" w14:textId="77777777" w:rsidR="00640396" w:rsidRDefault="00640396" w:rsidP="00675250">
      <w:pPr>
        <w:spacing w:after="0" w:line="240" w:lineRule="auto"/>
      </w:pPr>
      <w:r>
        <w:separator/>
      </w:r>
    </w:p>
  </w:footnote>
  <w:footnote w:type="continuationSeparator" w:id="0">
    <w:p w14:paraId="2D5567A3" w14:textId="77777777" w:rsidR="00640396" w:rsidRDefault="00640396" w:rsidP="00675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6E02" w14:textId="196B90A6" w:rsidR="006C43B2" w:rsidRDefault="006C43B2">
    <w:pPr>
      <w:pStyle w:val="Header"/>
    </w:pPr>
    <w:r>
      <w:rPr>
        <w:b/>
        <w:bCs/>
        <w:noProof/>
        <w:color w:val="5F497A" w:themeColor="accent4" w:themeShade="BF"/>
        <w:lang w:val="es-CO"/>
      </w:rPr>
      <w:drawing>
        <wp:anchor distT="0" distB="0" distL="114300" distR="114300" simplePos="0" relativeHeight="251658240" behindDoc="0" locked="0" layoutInCell="1" allowOverlap="1" wp14:anchorId="4E98F1DE" wp14:editId="1A5DC1F0">
          <wp:simplePos x="0" y="0"/>
          <wp:positionH relativeFrom="column">
            <wp:posOffset>-969645</wp:posOffset>
          </wp:positionH>
          <wp:positionV relativeFrom="paragraph">
            <wp:posOffset>-293634</wp:posOffset>
          </wp:positionV>
          <wp:extent cx="1121434" cy="747623"/>
          <wp:effectExtent l="0" t="0" r="0" b="0"/>
          <wp:wrapNone/>
          <wp:docPr id="1966149483" name="Picture 1" descr="A logo with colorful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6149483" name="Picture 1" descr="A logo with colorful squar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34" cy="7476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F92A2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6E57BF"/>
    <w:multiLevelType w:val="multilevel"/>
    <w:tmpl w:val="EC2C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7521E6"/>
    <w:multiLevelType w:val="multilevel"/>
    <w:tmpl w:val="74B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C901E6"/>
    <w:multiLevelType w:val="multilevel"/>
    <w:tmpl w:val="2964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2E4E28"/>
    <w:multiLevelType w:val="hybridMultilevel"/>
    <w:tmpl w:val="24A2A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F5760"/>
    <w:multiLevelType w:val="multilevel"/>
    <w:tmpl w:val="9E3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B5779C"/>
    <w:multiLevelType w:val="multilevel"/>
    <w:tmpl w:val="F72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2720D3"/>
    <w:multiLevelType w:val="multilevel"/>
    <w:tmpl w:val="0FE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AE5FCB"/>
    <w:multiLevelType w:val="multilevel"/>
    <w:tmpl w:val="56C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540292">
    <w:abstractNumId w:val="8"/>
  </w:num>
  <w:num w:numId="2" w16cid:durableId="7878959">
    <w:abstractNumId w:val="6"/>
  </w:num>
  <w:num w:numId="3" w16cid:durableId="1245147932">
    <w:abstractNumId w:val="5"/>
  </w:num>
  <w:num w:numId="4" w16cid:durableId="1222252698">
    <w:abstractNumId w:val="4"/>
  </w:num>
  <w:num w:numId="5" w16cid:durableId="533006438">
    <w:abstractNumId w:val="7"/>
  </w:num>
  <w:num w:numId="6" w16cid:durableId="1175221541">
    <w:abstractNumId w:val="3"/>
  </w:num>
  <w:num w:numId="7" w16cid:durableId="356856224">
    <w:abstractNumId w:val="2"/>
  </w:num>
  <w:num w:numId="8" w16cid:durableId="1896163192">
    <w:abstractNumId w:val="1"/>
  </w:num>
  <w:num w:numId="9" w16cid:durableId="803810592">
    <w:abstractNumId w:val="0"/>
  </w:num>
  <w:num w:numId="10" w16cid:durableId="409356597">
    <w:abstractNumId w:val="10"/>
  </w:num>
  <w:num w:numId="11" w16cid:durableId="5447688">
    <w:abstractNumId w:val="9"/>
  </w:num>
  <w:num w:numId="12" w16cid:durableId="987898310">
    <w:abstractNumId w:val="16"/>
  </w:num>
  <w:num w:numId="13" w16cid:durableId="1057122114">
    <w:abstractNumId w:val="15"/>
  </w:num>
  <w:num w:numId="14" w16cid:durableId="292684096">
    <w:abstractNumId w:val="14"/>
  </w:num>
  <w:num w:numId="15" w16cid:durableId="871260770">
    <w:abstractNumId w:val="13"/>
  </w:num>
  <w:num w:numId="16" w16cid:durableId="1480223885">
    <w:abstractNumId w:val="12"/>
  </w:num>
  <w:num w:numId="17" w16cid:durableId="1518425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C3B"/>
    <w:rsid w:val="00034616"/>
    <w:rsid w:val="0006063C"/>
    <w:rsid w:val="0015074B"/>
    <w:rsid w:val="00167FF8"/>
    <w:rsid w:val="001B241D"/>
    <w:rsid w:val="001C6E58"/>
    <w:rsid w:val="00213F0B"/>
    <w:rsid w:val="0029639D"/>
    <w:rsid w:val="002D4847"/>
    <w:rsid w:val="002D5DFD"/>
    <w:rsid w:val="00326F90"/>
    <w:rsid w:val="00414D48"/>
    <w:rsid w:val="00415BAF"/>
    <w:rsid w:val="004D6AFD"/>
    <w:rsid w:val="00547E49"/>
    <w:rsid w:val="005A1433"/>
    <w:rsid w:val="00640396"/>
    <w:rsid w:val="00660EBF"/>
    <w:rsid w:val="0066329E"/>
    <w:rsid w:val="00675250"/>
    <w:rsid w:val="006C43B2"/>
    <w:rsid w:val="006C4874"/>
    <w:rsid w:val="00721EFF"/>
    <w:rsid w:val="007E58FE"/>
    <w:rsid w:val="00853341"/>
    <w:rsid w:val="008F5B70"/>
    <w:rsid w:val="00937EF9"/>
    <w:rsid w:val="009E4B7D"/>
    <w:rsid w:val="00A224B8"/>
    <w:rsid w:val="00A427EA"/>
    <w:rsid w:val="00AA1D8D"/>
    <w:rsid w:val="00B20D96"/>
    <w:rsid w:val="00B47730"/>
    <w:rsid w:val="00B54307"/>
    <w:rsid w:val="00BD68A1"/>
    <w:rsid w:val="00CB0664"/>
    <w:rsid w:val="00CB635D"/>
    <w:rsid w:val="00D06F2A"/>
    <w:rsid w:val="00E305A2"/>
    <w:rsid w:val="00EF6EFA"/>
    <w:rsid w:val="00F170AC"/>
    <w:rsid w:val="00F30C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BE6C4C"/>
  <w14:defaultImageDpi w14:val="300"/>
  <w15:docId w15:val="{5953BCCC-5A85-427D-9201-7ED98F044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43B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C43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68A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oscarpineda-prgx/Automation-EscalaCre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7</Pages>
  <Words>1139</Words>
  <Characters>7559</Characters>
  <Application>Microsoft Office Word</Application>
  <DocSecurity>0</DocSecurity>
  <Lines>229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Pineda, Oscar</dc:creator>
  <cp:keywords/>
  <dc:description>generated by python-docx</dc:description>
  <cp:lastModifiedBy>Pineda, Oscar</cp:lastModifiedBy>
  <cp:revision>9</cp:revision>
  <cp:lastPrinted>2025-12-01T14:49:00Z</cp:lastPrinted>
  <dcterms:created xsi:type="dcterms:W3CDTF">2025-12-01T14:44:00Z</dcterms:created>
  <dcterms:modified xsi:type="dcterms:W3CDTF">2026-01-27T15:29:00Z</dcterms:modified>
  <cp:category/>
</cp:coreProperties>
</file>