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3422773"/>
        <w:docPartObj>
          <w:docPartGallery w:val="Cover Pages"/>
          <w:docPartUnique/>
        </w:docPartObj>
      </w:sdtPr>
      <w:sdtEndPr>
        <w:rPr>
          <w:spacing w:val="-10"/>
          <w:kern w:val="28"/>
          <w:sz w:val="24"/>
          <w:szCs w:val="24"/>
        </w:rPr>
      </w:sdtEndPr>
      <w:sdtContent>
        <w:p w14:paraId="5DC07C0C" w14:textId="648213D4" w:rsidR="00EF0B1C" w:rsidRDefault="00EF0B1C">
          <w:r>
            <w:rPr>
              <w:noProof/>
            </w:rPr>
            <mc:AlternateContent>
              <mc:Choice Requires="wpg">
                <w:drawing>
                  <wp:anchor distT="0" distB="0" distL="114300" distR="114300" simplePos="0" relativeHeight="251658243" behindDoc="0" locked="0" layoutInCell="1" allowOverlap="1" wp14:anchorId="3C63AEC1" wp14:editId="39C26B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5C0BA" id="Gruppe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D1116F1" wp14:editId="13AA25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3E5214" w14:textId="1C07AD00" w:rsidR="00EF0B1C" w:rsidRDefault="003341E4">
                                    <w:pPr>
                                      <w:pStyle w:val="KeinLeerraum"/>
                                      <w:jc w:val="right"/>
                                      <w:rPr>
                                        <w:color w:val="595959" w:themeColor="text1" w:themeTint="A6"/>
                                        <w:sz w:val="28"/>
                                        <w:szCs w:val="28"/>
                                      </w:rPr>
                                    </w:pPr>
                                    <w:r>
                                      <w:rPr>
                                        <w:color w:val="595959" w:themeColor="text1" w:themeTint="A6"/>
                                        <w:sz w:val="28"/>
                                        <w:szCs w:val="28"/>
                                      </w:rPr>
                                      <w:t>Oscar Settje</w:t>
                                    </w:r>
                                  </w:p>
                                </w:sdtContent>
                              </w:sdt>
                              <w:p w14:paraId="52DFB323" w14:textId="17904E2B" w:rsidR="00EF0B1C"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5F3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1116F1" id="_x0000_t202" coordsize="21600,21600" o:spt="202" path="m,l,21600r21600,l21600,xe">
                    <v:stroke joinstyle="miter"/>
                    <v:path gradientshapeok="t" o:connecttype="rect"/>
                  </v:shapetype>
                  <v:shape id="Textfeld 3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3E5214" w14:textId="1C07AD00" w:rsidR="00EF0B1C" w:rsidRDefault="003341E4">
                              <w:pPr>
                                <w:pStyle w:val="KeinLeerraum"/>
                                <w:jc w:val="right"/>
                                <w:rPr>
                                  <w:color w:val="595959" w:themeColor="text1" w:themeTint="A6"/>
                                  <w:sz w:val="28"/>
                                  <w:szCs w:val="28"/>
                                </w:rPr>
                              </w:pPr>
                              <w:r>
                                <w:rPr>
                                  <w:color w:val="595959" w:themeColor="text1" w:themeTint="A6"/>
                                  <w:sz w:val="28"/>
                                  <w:szCs w:val="28"/>
                                </w:rPr>
                                <w:t>Oscar Settje</w:t>
                              </w:r>
                            </w:p>
                          </w:sdtContent>
                        </w:sdt>
                        <w:p w14:paraId="52DFB323" w14:textId="17904E2B" w:rsidR="00EF0B1C"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5F3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1649C84" wp14:editId="0BD51C4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3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9A7CE" w14:textId="4F393029" w:rsidR="008679D6" w:rsidRPr="00732949" w:rsidRDefault="008679D6">
                                <w:pPr>
                                  <w:pStyle w:val="KeinLeerraum"/>
                                  <w:jc w:val="right"/>
                                  <w:rPr>
                                    <w:color w:val="8EAADB" w:themeColor="accent1" w:themeTint="99"/>
                                    <w:sz w:val="28"/>
                                    <w:szCs w:val="28"/>
                                  </w:rPr>
                                </w:pPr>
                                <w:r w:rsidRPr="00732949">
                                  <w:rPr>
                                    <w:color w:val="8EAADB" w:themeColor="accent1" w:themeTint="99"/>
                                    <w:sz w:val="28"/>
                                    <w:szCs w:val="28"/>
                                  </w:rPr>
                                  <w:t>Datum:</w:t>
                                </w:r>
                              </w:p>
                              <w:p w14:paraId="43BD21FE" w14:textId="07488587" w:rsidR="00FA0638" w:rsidRPr="00732949" w:rsidRDefault="00232E5A">
                                <w:pPr>
                                  <w:pStyle w:val="KeinLeerraum"/>
                                  <w:jc w:val="right"/>
                                  <w:rPr>
                                    <w:color w:val="8EAADB" w:themeColor="accent1" w:themeTint="99"/>
                                    <w:sz w:val="28"/>
                                    <w:szCs w:val="28"/>
                                  </w:rPr>
                                </w:pPr>
                                <w:r>
                                  <w:rPr>
                                    <w:color w:val="8EAADB" w:themeColor="accent1" w:themeTint="99"/>
                                    <w:sz w:val="28"/>
                                    <w:szCs w:val="28"/>
                                  </w:rPr>
                                  <w:t>22</w:t>
                                </w:r>
                                <w:r w:rsidR="00FB5CCD" w:rsidRPr="00732949">
                                  <w:rPr>
                                    <w:color w:val="8EAADB" w:themeColor="accent1" w:themeTint="99"/>
                                    <w:sz w:val="28"/>
                                    <w:szCs w:val="28"/>
                                  </w:rPr>
                                  <w:t>.</w:t>
                                </w:r>
                                <w:r w:rsidR="00044614">
                                  <w:rPr>
                                    <w:color w:val="8EAADB" w:themeColor="accent1" w:themeTint="99"/>
                                    <w:sz w:val="28"/>
                                    <w:szCs w:val="28"/>
                                  </w:rPr>
                                  <w:t>01</w:t>
                                </w:r>
                                <w:r w:rsidR="00FB5CCD" w:rsidRPr="00732949">
                                  <w:rPr>
                                    <w:color w:val="8EAADB" w:themeColor="accent1" w:themeTint="99"/>
                                    <w:sz w:val="28"/>
                                    <w:szCs w:val="28"/>
                                  </w:rPr>
                                  <w:t>.202</w:t>
                                </w:r>
                                <w:r w:rsidR="00044614">
                                  <w:rPr>
                                    <w:color w:val="8EAADB" w:themeColor="accent1" w:themeTint="99"/>
                                    <w:sz w:val="28"/>
                                    <w:szCs w:val="28"/>
                                  </w:rPr>
                                  <w:t>4</w:t>
                                </w:r>
                              </w:p>
                              <w:p w14:paraId="0961697A" w14:textId="77777777" w:rsidR="00FA0638" w:rsidRDefault="00FA0638">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649C84" id="Textfeld 3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E29A7CE" w14:textId="4F393029" w:rsidR="008679D6" w:rsidRPr="00732949" w:rsidRDefault="008679D6">
                          <w:pPr>
                            <w:pStyle w:val="KeinLeerraum"/>
                            <w:jc w:val="right"/>
                            <w:rPr>
                              <w:color w:val="8EAADB" w:themeColor="accent1" w:themeTint="99"/>
                              <w:sz w:val="28"/>
                              <w:szCs w:val="28"/>
                            </w:rPr>
                          </w:pPr>
                          <w:r w:rsidRPr="00732949">
                            <w:rPr>
                              <w:color w:val="8EAADB" w:themeColor="accent1" w:themeTint="99"/>
                              <w:sz w:val="28"/>
                              <w:szCs w:val="28"/>
                            </w:rPr>
                            <w:t>Datum:</w:t>
                          </w:r>
                        </w:p>
                        <w:p w14:paraId="43BD21FE" w14:textId="07488587" w:rsidR="00FA0638" w:rsidRPr="00732949" w:rsidRDefault="00232E5A">
                          <w:pPr>
                            <w:pStyle w:val="KeinLeerraum"/>
                            <w:jc w:val="right"/>
                            <w:rPr>
                              <w:color w:val="8EAADB" w:themeColor="accent1" w:themeTint="99"/>
                              <w:sz w:val="28"/>
                              <w:szCs w:val="28"/>
                            </w:rPr>
                          </w:pPr>
                          <w:r>
                            <w:rPr>
                              <w:color w:val="8EAADB" w:themeColor="accent1" w:themeTint="99"/>
                              <w:sz w:val="28"/>
                              <w:szCs w:val="28"/>
                            </w:rPr>
                            <w:t>22</w:t>
                          </w:r>
                          <w:r w:rsidR="00FB5CCD" w:rsidRPr="00732949">
                            <w:rPr>
                              <w:color w:val="8EAADB" w:themeColor="accent1" w:themeTint="99"/>
                              <w:sz w:val="28"/>
                              <w:szCs w:val="28"/>
                            </w:rPr>
                            <w:t>.</w:t>
                          </w:r>
                          <w:r w:rsidR="00044614">
                            <w:rPr>
                              <w:color w:val="8EAADB" w:themeColor="accent1" w:themeTint="99"/>
                              <w:sz w:val="28"/>
                              <w:szCs w:val="28"/>
                            </w:rPr>
                            <w:t>01</w:t>
                          </w:r>
                          <w:r w:rsidR="00FB5CCD" w:rsidRPr="00732949">
                            <w:rPr>
                              <w:color w:val="8EAADB" w:themeColor="accent1" w:themeTint="99"/>
                              <w:sz w:val="28"/>
                              <w:szCs w:val="28"/>
                            </w:rPr>
                            <w:t>.202</w:t>
                          </w:r>
                          <w:r w:rsidR="00044614">
                            <w:rPr>
                              <w:color w:val="8EAADB" w:themeColor="accent1" w:themeTint="99"/>
                              <w:sz w:val="28"/>
                              <w:szCs w:val="28"/>
                            </w:rPr>
                            <w:t>4</w:t>
                          </w:r>
                        </w:p>
                        <w:p w14:paraId="0961697A" w14:textId="77777777" w:rsidR="00FA0638" w:rsidRDefault="00FA0638">
                          <w:pPr>
                            <w:pStyle w:val="KeinLeerraum"/>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A2BE8" wp14:editId="38905E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A20DE" w14:textId="421572D0" w:rsidR="00EF0B1C" w:rsidRPr="009C5ED5" w:rsidRDefault="00000000">
                                <w:pPr>
                                  <w:jc w:val="right"/>
                                  <w:rPr>
                                    <w:color w:val="8EAADB" w:themeColor="accent1" w:themeTint="99"/>
                                    <w:sz w:val="64"/>
                                    <w:szCs w:val="64"/>
                                  </w:rPr>
                                </w:pPr>
                                <w:sdt>
                                  <w:sdtPr>
                                    <w:rPr>
                                      <w:caps/>
                                      <w:color w:val="8EAADB" w:themeColor="accent1" w:themeTint="99"/>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79D6" w:rsidRPr="009C5ED5">
                                      <w:rPr>
                                        <w:caps/>
                                        <w:color w:val="8EAADB" w:themeColor="accent1" w:themeTint="99"/>
                                        <w:sz w:val="64"/>
                                        <w:szCs w:val="64"/>
                                      </w:rPr>
                                      <w:t>Kering Se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BD724" w14:textId="2A94FF59" w:rsidR="00EF0B1C" w:rsidRDefault="00732949">
                                    <w:pPr>
                                      <w:jc w:val="right"/>
                                      <w:rPr>
                                        <w:smallCaps/>
                                        <w:color w:val="404040" w:themeColor="text1" w:themeTint="BF"/>
                                        <w:sz w:val="36"/>
                                        <w:szCs w:val="36"/>
                                      </w:rPr>
                                    </w:pPr>
                                    <w:r>
                                      <w:rPr>
                                        <w:color w:val="404040" w:themeColor="text1" w:themeTint="BF"/>
                                        <w:sz w:val="36"/>
                                        <w:szCs w:val="36"/>
                                      </w:rPr>
                                      <w:t>Unternehmensanal</w:t>
                                    </w:r>
                                    <w:r w:rsidR="00E4499F">
                                      <w:rPr>
                                        <w:color w:val="404040" w:themeColor="text1" w:themeTint="BF"/>
                                        <w:sz w:val="36"/>
                                        <w:szCs w:val="36"/>
                                      </w:rPr>
                                      <w:t>y</w:t>
                                    </w:r>
                                    <w:r>
                                      <w:rPr>
                                        <w:color w:val="404040" w:themeColor="text1" w:themeTint="BF"/>
                                        <w:sz w:val="36"/>
                                        <w:szCs w:val="36"/>
                                      </w:rPr>
                                      <w:t>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A2BE8" id="Textfeld 3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D4A20DE" w14:textId="421572D0" w:rsidR="00EF0B1C" w:rsidRPr="009C5ED5" w:rsidRDefault="00000000">
                          <w:pPr>
                            <w:jc w:val="right"/>
                            <w:rPr>
                              <w:color w:val="8EAADB" w:themeColor="accent1" w:themeTint="99"/>
                              <w:sz w:val="64"/>
                              <w:szCs w:val="64"/>
                            </w:rPr>
                          </w:pPr>
                          <w:sdt>
                            <w:sdtPr>
                              <w:rPr>
                                <w:caps/>
                                <w:color w:val="8EAADB" w:themeColor="accent1" w:themeTint="99"/>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79D6" w:rsidRPr="009C5ED5">
                                <w:rPr>
                                  <w:caps/>
                                  <w:color w:val="8EAADB" w:themeColor="accent1" w:themeTint="99"/>
                                  <w:sz w:val="64"/>
                                  <w:szCs w:val="64"/>
                                </w:rPr>
                                <w:t>Kering Se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BD724" w14:textId="2A94FF59" w:rsidR="00EF0B1C" w:rsidRDefault="00732949">
                              <w:pPr>
                                <w:jc w:val="right"/>
                                <w:rPr>
                                  <w:smallCaps/>
                                  <w:color w:val="404040" w:themeColor="text1" w:themeTint="BF"/>
                                  <w:sz w:val="36"/>
                                  <w:szCs w:val="36"/>
                                </w:rPr>
                              </w:pPr>
                              <w:r>
                                <w:rPr>
                                  <w:color w:val="404040" w:themeColor="text1" w:themeTint="BF"/>
                                  <w:sz w:val="36"/>
                                  <w:szCs w:val="36"/>
                                </w:rPr>
                                <w:t>Unternehmensanal</w:t>
                              </w:r>
                              <w:r w:rsidR="00E4499F">
                                <w:rPr>
                                  <w:color w:val="404040" w:themeColor="text1" w:themeTint="BF"/>
                                  <w:sz w:val="36"/>
                                  <w:szCs w:val="36"/>
                                </w:rPr>
                                <w:t>y</w:t>
                              </w:r>
                              <w:r>
                                <w:rPr>
                                  <w:color w:val="404040" w:themeColor="text1" w:themeTint="BF"/>
                                  <w:sz w:val="36"/>
                                  <w:szCs w:val="36"/>
                                </w:rPr>
                                <w:t>se</w:t>
                              </w:r>
                            </w:p>
                          </w:sdtContent>
                        </w:sdt>
                      </w:txbxContent>
                    </v:textbox>
                    <w10:wrap type="square" anchorx="page" anchory="page"/>
                  </v:shape>
                </w:pict>
              </mc:Fallback>
            </mc:AlternateContent>
          </w:r>
        </w:p>
        <w:p w14:paraId="55910D01" w14:textId="1FE50153" w:rsidR="00EF0B1C" w:rsidRDefault="00964B15">
          <w:pPr>
            <w:rPr>
              <w:rFonts w:asciiTheme="majorHAnsi" w:eastAsiaTheme="majorEastAsia" w:hAnsiTheme="majorHAnsi" w:cstheme="majorBidi"/>
              <w:spacing w:val="-10"/>
              <w:kern w:val="28"/>
              <w:sz w:val="24"/>
              <w:szCs w:val="24"/>
            </w:rPr>
          </w:pPr>
          <w:r>
            <w:rPr>
              <w:noProof/>
              <w:spacing w:val="-10"/>
              <w:kern w:val="28"/>
              <w:sz w:val="24"/>
              <w:szCs w:val="24"/>
            </w:rPr>
            <w:drawing>
              <wp:anchor distT="0" distB="0" distL="114300" distR="114300" simplePos="0" relativeHeight="251658244" behindDoc="0" locked="0" layoutInCell="1" allowOverlap="1" wp14:anchorId="2F709216" wp14:editId="5F6C5294">
                <wp:simplePos x="0" y="0"/>
                <wp:positionH relativeFrom="margin">
                  <wp:align>right</wp:align>
                </wp:positionH>
                <wp:positionV relativeFrom="paragraph">
                  <wp:posOffset>2078509</wp:posOffset>
                </wp:positionV>
                <wp:extent cx="5760720" cy="1822450"/>
                <wp:effectExtent l="0" t="0" r="0" b="6350"/>
                <wp:wrapNone/>
                <wp:docPr id="158738767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87679" name="Grafik 1587387679"/>
                        <pic:cNvPicPr/>
                      </pic:nvPicPr>
                      <pic:blipFill>
                        <a:blip r:embed="rId8">
                          <a:extLst>
                            <a:ext uri="{28A0092B-C50C-407E-A947-70E740481C1C}">
                              <a14:useLocalDpi xmlns:a14="http://schemas.microsoft.com/office/drawing/2010/main" val="0"/>
                            </a:ext>
                          </a:extLst>
                        </a:blip>
                        <a:stretch>
                          <a:fillRect/>
                        </a:stretch>
                      </pic:blipFill>
                      <pic:spPr>
                        <a:xfrm>
                          <a:off x="0" y="0"/>
                          <a:ext cx="5760720" cy="1822450"/>
                        </a:xfrm>
                        <a:prstGeom prst="rect">
                          <a:avLst/>
                        </a:prstGeom>
                      </pic:spPr>
                    </pic:pic>
                  </a:graphicData>
                </a:graphic>
                <wp14:sizeRelH relativeFrom="page">
                  <wp14:pctWidth>0</wp14:pctWidth>
                </wp14:sizeRelH>
                <wp14:sizeRelV relativeFrom="page">
                  <wp14:pctHeight>0</wp14:pctHeight>
                </wp14:sizeRelV>
              </wp:anchor>
            </w:drawing>
          </w:r>
          <w:r w:rsidR="00EF0B1C">
            <w:rPr>
              <w:spacing w:val="-10"/>
              <w:kern w:val="28"/>
              <w:sz w:val="24"/>
              <w:szCs w:val="24"/>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22666370"/>
        <w:docPartObj>
          <w:docPartGallery w:val="Table of Contents"/>
          <w:docPartUnique/>
        </w:docPartObj>
      </w:sdtPr>
      <w:sdtEndPr>
        <w:rPr>
          <w:b/>
          <w:bCs/>
        </w:rPr>
      </w:sdtEndPr>
      <w:sdtContent>
        <w:p w14:paraId="289FE80E" w14:textId="22CE0B37" w:rsidR="00817026" w:rsidRDefault="00817026">
          <w:pPr>
            <w:pStyle w:val="Inhaltsverzeichnisberschrift"/>
          </w:pPr>
          <w:r>
            <w:t>Inhalt</w:t>
          </w:r>
        </w:p>
        <w:p w14:paraId="7CCCC27B" w14:textId="11304EBF" w:rsidR="00232E5A" w:rsidRDefault="0081702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r:id="rId9" w:anchor="_Toc156824929" w:history="1">
            <w:r w:rsidR="00232E5A" w:rsidRPr="00A20B79">
              <w:rPr>
                <w:rStyle w:val="Hyperlink"/>
                <w:noProof/>
              </w:rPr>
              <w:t>Teil I: Unternehmen und Geschäftsmodell</w:t>
            </w:r>
            <w:r w:rsidR="00232E5A">
              <w:rPr>
                <w:noProof/>
                <w:webHidden/>
              </w:rPr>
              <w:tab/>
            </w:r>
            <w:r w:rsidR="00232E5A">
              <w:rPr>
                <w:noProof/>
                <w:webHidden/>
              </w:rPr>
              <w:fldChar w:fldCharType="begin"/>
            </w:r>
            <w:r w:rsidR="00232E5A">
              <w:rPr>
                <w:noProof/>
                <w:webHidden/>
              </w:rPr>
              <w:instrText xml:space="preserve"> PAGEREF _Toc156824929 \h </w:instrText>
            </w:r>
            <w:r w:rsidR="00232E5A">
              <w:rPr>
                <w:noProof/>
                <w:webHidden/>
              </w:rPr>
            </w:r>
            <w:r w:rsidR="00232E5A">
              <w:rPr>
                <w:noProof/>
                <w:webHidden/>
              </w:rPr>
              <w:fldChar w:fldCharType="separate"/>
            </w:r>
            <w:r w:rsidR="00AB61E9">
              <w:rPr>
                <w:noProof/>
                <w:webHidden/>
              </w:rPr>
              <w:t>2</w:t>
            </w:r>
            <w:r w:rsidR="00232E5A">
              <w:rPr>
                <w:noProof/>
                <w:webHidden/>
              </w:rPr>
              <w:fldChar w:fldCharType="end"/>
            </w:r>
          </w:hyperlink>
        </w:p>
        <w:p w14:paraId="564DE597" w14:textId="0AB01A25" w:rsidR="00232E5A" w:rsidRDefault="00232E5A">
          <w:pPr>
            <w:pStyle w:val="Verzeichnis2"/>
            <w:tabs>
              <w:tab w:val="right" w:leader="dot" w:pos="9062"/>
            </w:tabs>
            <w:rPr>
              <w:rFonts w:eastAsiaTheme="minorEastAsia"/>
              <w:noProof/>
              <w:lang w:eastAsia="de-DE"/>
            </w:rPr>
          </w:pPr>
          <w:hyperlink w:anchor="_Toc156824930" w:history="1">
            <w:r w:rsidRPr="00A20B79">
              <w:rPr>
                <w:rStyle w:val="Hyperlink"/>
                <w:noProof/>
              </w:rPr>
              <w:t>Geschichte</w:t>
            </w:r>
            <w:r>
              <w:rPr>
                <w:noProof/>
                <w:webHidden/>
              </w:rPr>
              <w:tab/>
            </w:r>
            <w:r>
              <w:rPr>
                <w:noProof/>
                <w:webHidden/>
              </w:rPr>
              <w:fldChar w:fldCharType="begin"/>
            </w:r>
            <w:r>
              <w:rPr>
                <w:noProof/>
                <w:webHidden/>
              </w:rPr>
              <w:instrText xml:space="preserve"> PAGEREF _Toc156824930 \h </w:instrText>
            </w:r>
            <w:r>
              <w:rPr>
                <w:noProof/>
                <w:webHidden/>
              </w:rPr>
            </w:r>
            <w:r>
              <w:rPr>
                <w:noProof/>
                <w:webHidden/>
              </w:rPr>
              <w:fldChar w:fldCharType="separate"/>
            </w:r>
            <w:r w:rsidR="00AB61E9">
              <w:rPr>
                <w:noProof/>
                <w:webHidden/>
              </w:rPr>
              <w:t>3</w:t>
            </w:r>
            <w:r>
              <w:rPr>
                <w:noProof/>
                <w:webHidden/>
              </w:rPr>
              <w:fldChar w:fldCharType="end"/>
            </w:r>
          </w:hyperlink>
        </w:p>
        <w:p w14:paraId="056DA3E8" w14:textId="76945559" w:rsidR="00232E5A" w:rsidRDefault="00232E5A">
          <w:pPr>
            <w:pStyle w:val="Verzeichnis2"/>
            <w:tabs>
              <w:tab w:val="right" w:leader="dot" w:pos="9062"/>
            </w:tabs>
            <w:rPr>
              <w:rFonts w:eastAsiaTheme="minorEastAsia"/>
              <w:noProof/>
              <w:lang w:eastAsia="de-DE"/>
            </w:rPr>
          </w:pPr>
          <w:hyperlink w:anchor="_Toc156824931" w:history="1">
            <w:r w:rsidRPr="00A20B79">
              <w:rPr>
                <w:rStyle w:val="Hyperlink"/>
                <w:noProof/>
              </w:rPr>
              <w:t>Geschäftsmodel</w:t>
            </w:r>
            <w:r>
              <w:rPr>
                <w:noProof/>
                <w:webHidden/>
              </w:rPr>
              <w:tab/>
            </w:r>
            <w:r>
              <w:rPr>
                <w:noProof/>
                <w:webHidden/>
              </w:rPr>
              <w:fldChar w:fldCharType="begin"/>
            </w:r>
            <w:r>
              <w:rPr>
                <w:noProof/>
                <w:webHidden/>
              </w:rPr>
              <w:instrText xml:space="preserve"> PAGEREF _Toc156824931 \h </w:instrText>
            </w:r>
            <w:r>
              <w:rPr>
                <w:noProof/>
                <w:webHidden/>
              </w:rPr>
            </w:r>
            <w:r>
              <w:rPr>
                <w:noProof/>
                <w:webHidden/>
              </w:rPr>
              <w:fldChar w:fldCharType="separate"/>
            </w:r>
            <w:r w:rsidR="00AB61E9">
              <w:rPr>
                <w:noProof/>
                <w:webHidden/>
              </w:rPr>
              <w:t>4</w:t>
            </w:r>
            <w:r>
              <w:rPr>
                <w:noProof/>
                <w:webHidden/>
              </w:rPr>
              <w:fldChar w:fldCharType="end"/>
            </w:r>
          </w:hyperlink>
        </w:p>
        <w:p w14:paraId="5A35AAC9" w14:textId="60E2C03A" w:rsidR="00232E5A" w:rsidRPr="00232E5A" w:rsidRDefault="00232E5A">
          <w:pPr>
            <w:pStyle w:val="Verzeichnis3"/>
            <w:tabs>
              <w:tab w:val="right" w:leader="dot" w:pos="9062"/>
            </w:tabs>
            <w:rPr>
              <w:rFonts w:eastAsiaTheme="minorEastAsia"/>
              <w:noProof/>
              <w:lang w:eastAsia="de-DE"/>
            </w:rPr>
          </w:pPr>
          <w:hyperlink w:anchor="_Toc156824932" w:history="1">
            <w:r w:rsidRPr="00232E5A">
              <w:rPr>
                <w:rStyle w:val="Hyperlink"/>
                <w:noProof/>
              </w:rPr>
              <w:t>Gucci:</w:t>
            </w:r>
            <w:r w:rsidRPr="00232E5A">
              <w:rPr>
                <w:noProof/>
                <w:webHidden/>
              </w:rPr>
              <w:tab/>
            </w:r>
            <w:r w:rsidRPr="00232E5A">
              <w:rPr>
                <w:noProof/>
                <w:webHidden/>
              </w:rPr>
              <w:fldChar w:fldCharType="begin"/>
            </w:r>
            <w:r w:rsidRPr="00232E5A">
              <w:rPr>
                <w:noProof/>
                <w:webHidden/>
              </w:rPr>
              <w:instrText xml:space="preserve"> PAGEREF _Toc156824932 \h </w:instrText>
            </w:r>
            <w:r w:rsidRPr="00232E5A">
              <w:rPr>
                <w:noProof/>
                <w:webHidden/>
              </w:rPr>
            </w:r>
            <w:r w:rsidRPr="00232E5A">
              <w:rPr>
                <w:noProof/>
                <w:webHidden/>
              </w:rPr>
              <w:fldChar w:fldCharType="separate"/>
            </w:r>
            <w:r w:rsidR="00AB61E9">
              <w:rPr>
                <w:noProof/>
                <w:webHidden/>
              </w:rPr>
              <w:t>5</w:t>
            </w:r>
            <w:r w:rsidRPr="00232E5A">
              <w:rPr>
                <w:noProof/>
                <w:webHidden/>
              </w:rPr>
              <w:fldChar w:fldCharType="end"/>
            </w:r>
          </w:hyperlink>
        </w:p>
        <w:p w14:paraId="57E5C100" w14:textId="6107DEA1" w:rsidR="00232E5A" w:rsidRPr="00232E5A" w:rsidRDefault="00232E5A">
          <w:pPr>
            <w:pStyle w:val="Verzeichnis3"/>
            <w:tabs>
              <w:tab w:val="right" w:leader="dot" w:pos="9062"/>
            </w:tabs>
            <w:rPr>
              <w:rFonts w:eastAsiaTheme="minorEastAsia"/>
              <w:noProof/>
              <w:lang w:eastAsia="de-DE"/>
            </w:rPr>
          </w:pPr>
          <w:hyperlink w:anchor="_Toc156824933" w:history="1">
            <w:r w:rsidRPr="00232E5A">
              <w:rPr>
                <w:rStyle w:val="Hyperlink"/>
                <w:noProof/>
              </w:rPr>
              <w:t>Yves Saint Laurent</w:t>
            </w:r>
            <w:r w:rsidRPr="00232E5A">
              <w:rPr>
                <w:noProof/>
                <w:webHidden/>
              </w:rPr>
              <w:tab/>
            </w:r>
            <w:r w:rsidRPr="00232E5A">
              <w:rPr>
                <w:noProof/>
                <w:webHidden/>
              </w:rPr>
              <w:fldChar w:fldCharType="begin"/>
            </w:r>
            <w:r w:rsidRPr="00232E5A">
              <w:rPr>
                <w:noProof/>
                <w:webHidden/>
              </w:rPr>
              <w:instrText xml:space="preserve"> PAGEREF _Toc156824933 \h </w:instrText>
            </w:r>
            <w:r w:rsidRPr="00232E5A">
              <w:rPr>
                <w:noProof/>
                <w:webHidden/>
              </w:rPr>
            </w:r>
            <w:r w:rsidRPr="00232E5A">
              <w:rPr>
                <w:noProof/>
                <w:webHidden/>
              </w:rPr>
              <w:fldChar w:fldCharType="separate"/>
            </w:r>
            <w:r w:rsidR="00AB61E9">
              <w:rPr>
                <w:noProof/>
                <w:webHidden/>
              </w:rPr>
              <w:t>6</w:t>
            </w:r>
            <w:r w:rsidRPr="00232E5A">
              <w:rPr>
                <w:noProof/>
                <w:webHidden/>
              </w:rPr>
              <w:fldChar w:fldCharType="end"/>
            </w:r>
          </w:hyperlink>
        </w:p>
        <w:p w14:paraId="242A10FE" w14:textId="18945BB4" w:rsidR="00232E5A" w:rsidRPr="00232E5A" w:rsidRDefault="00232E5A">
          <w:pPr>
            <w:pStyle w:val="Verzeichnis3"/>
            <w:tabs>
              <w:tab w:val="right" w:leader="dot" w:pos="9062"/>
            </w:tabs>
            <w:rPr>
              <w:rFonts w:eastAsiaTheme="minorEastAsia"/>
              <w:noProof/>
              <w:lang w:eastAsia="de-DE"/>
            </w:rPr>
          </w:pPr>
          <w:hyperlink w:anchor="_Toc156824934" w:history="1">
            <w:r w:rsidRPr="00232E5A">
              <w:rPr>
                <w:rStyle w:val="Hyperlink"/>
                <w:noProof/>
              </w:rPr>
              <w:t>Bottega Veneta</w:t>
            </w:r>
            <w:r w:rsidRPr="00232E5A">
              <w:rPr>
                <w:noProof/>
                <w:webHidden/>
              </w:rPr>
              <w:tab/>
            </w:r>
            <w:r w:rsidRPr="00232E5A">
              <w:rPr>
                <w:noProof/>
                <w:webHidden/>
              </w:rPr>
              <w:fldChar w:fldCharType="begin"/>
            </w:r>
            <w:r w:rsidRPr="00232E5A">
              <w:rPr>
                <w:noProof/>
                <w:webHidden/>
              </w:rPr>
              <w:instrText xml:space="preserve"> PAGEREF _Toc156824934 \h </w:instrText>
            </w:r>
            <w:r w:rsidRPr="00232E5A">
              <w:rPr>
                <w:noProof/>
                <w:webHidden/>
              </w:rPr>
            </w:r>
            <w:r w:rsidRPr="00232E5A">
              <w:rPr>
                <w:noProof/>
                <w:webHidden/>
              </w:rPr>
              <w:fldChar w:fldCharType="separate"/>
            </w:r>
            <w:r w:rsidR="00AB61E9">
              <w:rPr>
                <w:noProof/>
                <w:webHidden/>
              </w:rPr>
              <w:t>7</w:t>
            </w:r>
            <w:r w:rsidRPr="00232E5A">
              <w:rPr>
                <w:noProof/>
                <w:webHidden/>
              </w:rPr>
              <w:fldChar w:fldCharType="end"/>
            </w:r>
          </w:hyperlink>
        </w:p>
        <w:p w14:paraId="7CDA9AA4" w14:textId="14FDC2FF" w:rsidR="00232E5A" w:rsidRPr="00232E5A" w:rsidRDefault="00232E5A">
          <w:pPr>
            <w:pStyle w:val="Verzeichnis3"/>
            <w:tabs>
              <w:tab w:val="right" w:leader="dot" w:pos="9062"/>
            </w:tabs>
            <w:rPr>
              <w:rFonts w:eastAsiaTheme="minorEastAsia"/>
              <w:noProof/>
              <w:lang w:eastAsia="de-DE"/>
            </w:rPr>
          </w:pPr>
          <w:hyperlink w:anchor="_Toc156824935" w:history="1">
            <w:r w:rsidRPr="00232E5A">
              <w:rPr>
                <w:rStyle w:val="Hyperlink"/>
                <w:noProof/>
              </w:rPr>
              <w:t>Kering Eyewear</w:t>
            </w:r>
            <w:r w:rsidRPr="00232E5A">
              <w:rPr>
                <w:noProof/>
                <w:webHidden/>
              </w:rPr>
              <w:tab/>
            </w:r>
            <w:r w:rsidRPr="00232E5A">
              <w:rPr>
                <w:noProof/>
                <w:webHidden/>
              </w:rPr>
              <w:fldChar w:fldCharType="begin"/>
            </w:r>
            <w:r w:rsidRPr="00232E5A">
              <w:rPr>
                <w:noProof/>
                <w:webHidden/>
              </w:rPr>
              <w:instrText xml:space="preserve"> PAGEREF _Toc156824935 \h </w:instrText>
            </w:r>
            <w:r w:rsidRPr="00232E5A">
              <w:rPr>
                <w:noProof/>
                <w:webHidden/>
              </w:rPr>
            </w:r>
            <w:r w:rsidRPr="00232E5A">
              <w:rPr>
                <w:noProof/>
                <w:webHidden/>
              </w:rPr>
              <w:fldChar w:fldCharType="separate"/>
            </w:r>
            <w:r w:rsidR="00AB61E9">
              <w:rPr>
                <w:noProof/>
                <w:webHidden/>
              </w:rPr>
              <w:t>8</w:t>
            </w:r>
            <w:r w:rsidRPr="00232E5A">
              <w:rPr>
                <w:noProof/>
                <w:webHidden/>
              </w:rPr>
              <w:fldChar w:fldCharType="end"/>
            </w:r>
          </w:hyperlink>
        </w:p>
        <w:p w14:paraId="696B7286" w14:textId="1D13FA97" w:rsidR="00232E5A" w:rsidRDefault="00232E5A">
          <w:pPr>
            <w:pStyle w:val="Verzeichnis2"/>
            <w:tabs>
              <w:tab w:val="right" w:leader="dot" w:pos="9062"/>
            </w:tabs>
            <w:rPr>
              <w:rFonts w:eastAsiaTheme="minorEastAsia"/>
              <w:noProof/>
              <w:lang w:eastAsia="de-DE"/>
            </w:rPr>
          </w:pPr>
          <w:hyperlink w:anchor="_Toc156824936" w:history="1">
            <w:r w:rsidRPr="00A20B79">
              <w:rPr>
                <w:rStyle w:val="Hyperlink"/>
                <w:noProof/>
              </w:rPr>
              <w:t>Ausrichtung und strategische Änderungen</w:t>
            </w:r>
            <w:r>
              <w:rPr>
                <w:noProof/>
                <w:webHidden/>
              </w:rPr>
              <w:tab/>
            </w:r>
            <w:r>
              <w:rPr>
                <w:noProof/>
                <w:webHidden/>
              </w:rPr>
              <w:fldChar w:fldCharType="begin"/>
            </w:r>
            <w:r>
              <w:rPr>
                <w:noProof/>
                <w:webHidden/>
              </w:rPr>
              <w:instrText xml:space="preserve"> PAGEREF _Toc156824936 \h </w:instrText>
            </w:r>
            <w:r>
              <w:rPr>
                <w:noProof/>
                <w:webHidden/>
              </w:rPr>
            </w:r>
            <w:r>
              <w:rPr>
                <w:noProof/>
                <w:webHidden/>
              </w:rPr>
              <w:fldChar w:fldCharType="separate"/>
            </w:r>
            <w:r w:rsidR="00AB61E9">
              <w:rPr>
                <w:noProof/>
                <w:webHidden/>
              </w:rPr>
              <w:t>9</w:t>
            </w:r>
            <w:r>
              <w:rPr>
                <w:noProof/>
                <w:webHidden/>
              </w:rPr>
              <w:fldChar w:fldCharType="end"/>
            </w:r>
          </w:hyperlink>
        </w:p>
        <w:p w14:paraId="5A155CB7" w14:textId="4F8B9DD8" w:rsidR="00232E5A" w:rsidRDefault="00232E5A">
          <w:pPr>
            <w:pStyle w:val="Verzeichnis2"/>
            <w:tabs>
              <w:tab w:val="right" w:leader="dot" w:pos="9062"/>
            </w:tabs>
            <w:rPr>
              <w:rFonts w:eastAsiaTheme="minorEastAsia"/>
              <w:noProof/>
              <w:lang w:eastAsia="de-DE"/>
            </w:rPr>
          </w:pPr>
          <w:hyperlink w:anchor="_Toc156824937" w:history="1">
            <w:r w:rsidRPr="00A20B79">
              <w:rPr>
                <w:rStyle w:val="Hyperlink"/>
                <w:noProof/>
              </w:rPr>
              <w:t>Management und Aktionärsstruktur</w:t>
            </w:r>
            <w:r>
              <w:rPr>
                <w:noProof/>
                <w:webHidden/>
              </w:rPr>
              <w:tab/>
            </w:r>
            <w:r>
              <w:rPr>
                <w:noProof/>
                <w:webHidden/>
              </w:rPr>
              <w:fldChar w:fldCharType="begin"/>
            </w:r>
            <w:r>
              <w:rPr>
                <w:noProof/>
                <w:webHidden/>
              </w:rPr>
              <w:instrText xml:space="preserve"> PAGEREF _Toc156824937 \h </w:instrText>
            </w:r>
            <w:r>
              <w:rPr>
                <w:noProof/>
                <w:webHidden/>
              </w:rPr>
            </w:r>
            <w:r>
              <w:rPr>
                <w:noProof/>
                <w:webHidden/>
              </w:rPr>
              <w:fldChar w:fldCharType="separate"/>
            </w:r>
            <w:r w:rsidR="00AB61E9">
              <w:rPr>
                <w:noProof/>
                <w:webHidden/>
              </w:rPr>
              <w:t>10</w:t>
            </w:r>
            <w:r>
              <w:rPr>
                <w:noProof/>
                <w:webHidden/>
              </w:rPr>
              <w:fldChar w:fldCharType="end"/>
            </w:r>
          </w:hyperlink>
        </w:p>
        <w:p w14:paraId="0092B0C0" w14:textId="5BB9413B" w:rsidR="00232E5A" w:rsidRDefault="00232E5A">
          <w:pPr>
            <w:pStyle w:val="Verzeichnis2"/>
            <w:tabs>
              <w:tab w:val="right" w:leader="dot" w:pos="9062"/>
            </w:tabs>
            <w:rPr>
              <w:rFonts w:eastAsiaTheme="minorEastAsia"/>
              <w:noProof/>
              <w:lang w:eastAsia="de-DE"/>
            </w:rPr>
          </w:pPr>
          <w:hyperlink w:anchor="_Toc156824938" w:history="1">
            <w:r w:rsidRPr="00A20B79">
              <w:rPr>
                <w:rStyle w:val="Hyperlink"/>
                <w:noProof/>
              </w:rPr>
              <w:t>Sonstiges</w:t>
            </w:r>
            <w:r>
              <w:rPr>
                <w:noProof/>
                <w:webHidden/>
              </w:rPr>
              <w:tab/>
            </w:r>
            <w:r>
              <w:rPr>
                <w:noProof/>
                <w:webHidden/>
              </w:rPr>
              <w:fldChar w:fldCharType="begin"/>
            </w:r>
            <w:r>
              <w:rPr>
                <w:noProof/>
                <w:webHidden/>
              </w:rPr>
              <w:instrText xml:space="preserve"> PAGEREF _Toc156824938 \h </w:instrText>
            </w:r>
            <w:r>
              <w:rPr>
                <w:noProof/>
                <w:webHidden/>
              </w:rPr>
            </w:r>
            <w:r>
              <w:rPr>
                <w:noProof/>
                <w:webHidden/>
              </w:rPr>
              <w:fldChar w:fldCharType="separate"/>
            </w:r>
            <w:r w:rsidR="00AB61E9">
              <w:rPr>
                <w:noProof/>
                <w:webHidden/>
              </w:rPr>
              <w:t>10</w:t>
            </w:r>
            <w:r>
              <w:rPr>
                <w:noProof/>
                <w:webHidden/>
              </w:rPr>
              <w:fldChar w:fldCharType="end"/>
            </w:r>
          </w:hyperlink>
        </w:p>
        <w:p w14:paraId="1693682E" w14:textId="75DA40A1" w:rsidR="00232E5A" w:rsidRDefault="00232E5A">
          <w:pPr>
            <w:pStyle w:val="Verzeichnis1"/>
            <w:tabs>
              <w:tab w:val="right" w:leader="dot" w:pos="9062"/>
            </w:tabs>
            <w:rPr>
              <w:rFonts w:eastAsiaTheme="minorEastAsia"/>
              <w:noProof/>
              <w:lang w:eastAsia="de-DE"/>
            </w:rPr>
          </w:pPr>
          <w:hyperlink r:id="rId10" w:anchor="_Toc156824939" w:history="1">
            <w:r w:rsidRPr="00A20B79">
              <w:rPr>
                <w:rStyle w:val="Hyperlink"/>
                <w:noProof/>
              </w:rPr>
              <w:t>Teil II: Financials und Bewertung</w:t>
            </w:r>
            <w:r>
              <w:rPr>
                <w:noProof/>
                <w:webHidden/>
              </w:rPr>
              <w:tab/>
            </w:r>
            <w:r>
              <w:rPr>
                <w:noProof/>
                <w:webHidden/>
              </w:rPr>
              <w:fldChar w:fldCharType="begin"/>
            </w:r>
            <w:r>
              <w:rPr>
                <w:noProof/>
                <w:webHidden/>
              </w:rPr>
              <w:instrText xml:space="preserve"> PAGEREF _Toc156824939 \h </w:instrText>
            </w:r>
            <w:r>
              <w:rPr>
                <w:noProof/>
                <w:webHidden/>
              </w:rPr>
            </w:r>
            <w:r>
              <w:rPr>
                <w:noProof/>
                <w:webHidden/>
              </w:rPr>
              <w:fldChar w:fldCharType="separate"/>
            </w:r>
            <w:r w:rsidR="00AB61E9">
              <w:rPr>
                <w:noProof/>
                <w:webHidden/>
              </w:rPr>
              <w:t>11</w:t>
            </w:r>
            <w:r>
              <w:rPr>
                <w:noProof/>
                <w:webHidden/>
              </w:rPr>
              <w:fldChar w:fldCharType="end"/>
            </w:r>
          </w:hyperlink>
        </w:p>
        <w:p w14:paraId="3010698E" w14:textId="623FCC38" w:rsidR="00232E5A" w:rsidRDefault="00232E5A">
          <w:pPr>
            <w:pStyle w:val="Verzeichnis2"/>
            <w:tabs>
              <w:tab w:val="right" w:leader="dot" w:pos="9062"/>
            </w:tabs>
            <w:rPr>
              <w:rFonts w:eastAsiaTheme="minorEastAsia"/>
              <w:noProof/>
              <w:lang w:eastAsia="de-DE"/>
            </w:rPr>
          </w:pPr>
          <w:hyperlink w:anchor="_Toc156824940" w:history="1">
            <w:r w:rsidRPr="00A20B79">
              <w:rPr>
                <w:rStyle w:val="Hyperlink"/>
                <w:noProof/>
              </w:rPr>
              <w:t>Kering Profil</w:t>
            </w:r>
            <w:r>
              <w:rPr>
                <w:noProof/>
                <w:webHidden/>
              </w:rPr>
              <w:tab/>
            </w:r>
            <w:r>
              <w:rPr>
                <w:noProof/>
                <w:webHidden/>
              </w:rPr>
              <w:fldChar w:fldCharType="begin"/>
            </w:r>
            <w:r>
              <w:rPr>
                <w:noProof/>
                <w:webHidden/>
              </w:rPr>
              <w:instrText xml:space="preserve"> PAGEREF _Toc156824940 \h </w:instrText>
            </w:r>
            <w:r>
              <w:rPr>
                <w:noProof/>
                <w:webHidden/>
              </w:rPr>
            </w:r>
            <w:r>
              <w:rPr>
                <w:noProof/>
                <w:webHidden/>
              </w:rPr>
              <w:fldChar w:fldCharType="separate"/>
            </w:r>
            <w:r w:rsidR="00AB61E9">
              <w:rPr>
                <w:noProof/>
                <w:webHidden/>
              </w:rPr>
              <w:t>12</w:t>
            </w:r>
            <w:r>
              <w:rPr>
                <w:noProof/>
                <w:webHidden/>
              </w:rPr>
              <w:fldChar w:fldCharType="end"/>
            </w:r>
          </w:hyperlink>
        </w:p>
        <w:p w14:paraId="00AE3E73" w14:textId="1007F152" w:rsidR="00232E5A" w:rsidRDefault="00232E5A">
          <w:pPr>
            <w:pStyle w:val="Verzeichnis2"/>
            <w:tabs>
              <w:tab w:val="right" w:leader="dot" w:pos="9062"/>
            </w:tabs>
            <w:rPr>
              <w:rFonts w:eastAsiaTheme="minorEastAsia"/>
              <w:noProof/>
              <w:lang w:eastAsia="de-DE"/>
            </w:rPr>
          </w:pPr>
          <w:hyperlink w:anchor="_Toc156824941" w:history="1">
            <w:r w:rsidRPr="00A20B79">
              <w:rPr>
                <w:rStyle w:val="Hyperlink"/>
                <w:noProof/>
              </w:rPr>
              <w:t>Marken und Produkte</w:t>
            </w:r>
            <w:r>
              <w:rPr>
                <w:noProof/>
                <w:webHidden/>
              </w:rPr>
              <w:tab/>
            </w:r>
            <w:r>
              <w:rPr>
                <w:noProof/>
                <w:webHidden/>
              </w:rPr>
              <w:fldChar w:fldCharType="begin"/>
            </w:r>
            <w:r>
              <w:rPr>
                <w:noProof/>
                <w:webHidden/>
              </w:rPr>
              <w:instrText xml:space="preserve"> PAGEREF _Toc156824941 \h </w:instrText>
            </w:r>
            <w:r>
              <w:rPr>
                <w:noProof/>
                <w:webHidden/>
              </w:rPr>
            </w:r>
            <w:r>
              <w:rPr>
                <w:noProof/>
                <w:webHidden/>
              </w:rPr>
              <w:fldChar w:fldCharType="separate"/>
            </w:r>
            <w:r w:rsidR="00AB61E9">
              <w:rPr>
                <w:noProof/>
                <w:webHidden/>
              </w:rPr>
              <w:t>13</w:t>
            </w:r>
            <w:r>
              <w:rPr>
                <w:noProof/>
                <w:webHidden/>
              </w:rPr>
              <w:fldChar w:fldCharType="end"/>
            </w:r>
          </w:hyperlink>
        </w:p>
        <w:p w14:paraId="379E730B" w14:textId="6AAB86D4" w:rsidR="00232E5A" w:rsidRDefault="00232E5A">
          <w:pPr>
            <w:pStyle w:val="Verzeichnis2"/>
            <w:tabs>
              <w:tab w:val="right" w:leader="dot" w:pos="9062"/>
            </w:tabs>
            <w:rPr>
              <w:rFonts w:eastAsiaTheme="minorEastAsia"/>
              <w:noProof/>
              <w:lang w:eastAsia="de-DE"/>
            </w:rPr>
          </w:pPr>
          <w:hyperlink w:anchor="_Toc156824942" w:history="1">
            <w:r w:rsidRPr="00A20B79">
              <w:rPr>
                <w:rStyle w:val="Hyperlink"/>
                <w:noProof/>
              </w:rPr>
              <w:t>Kerings Aktie</w:t>
            </w:r>
            <w:r>
              <w:rPr>
                <w:noProof/>
                <w:webHidden/>
              </w:rPr>
              <w:tab/>
            </w:r>
            <w:r>
              <w:rPr>
                <w:noProof/>
                <w:webHidden/>
              </w:rPr>
              <w:fldChar w:fldCharType="begin"/>
            </w:r>
            <w:r>
              <w:rPr>
                <w:noProof/>
                <w:webHidden/>
              </w:rPr>
              <w:instrText xml:space="preserve"> PAGEREF _Toc156824942 \h </w:instrText>
            </w:r>
            <w:r>
              <w:rPr>
                <w:noProof/>
                <w:webHidden/>
              </w:rPr>
            </w:r>
            <w:r>
              <w:rPr>
                <w:noProof/>
                <w:webHidden/>
              </w:rPr>
              <w:fldChar w:fldCharType="separate"/>
            </w:r>
            <w:r w:rsidR="00AB61E9">
              <w:rPr>
                <w:noProof/>
                <w:webHidden/>
              </w:rPr>
              <w:t>14</w:t>
            </w:r>
            <w:r>
              <w:rPr>
                <w:noProof/>
                <w:webHidden/>
              </w:rPr>
              <w:fldChar w:fldCharType="end"/>
            </w:r>
          </w:hyperlink>
        </w:p>
        <w:p w14:paraId="54B0441A" w14:textId="7C5C1B13" w:rsidR="00232E5A" w:rsidRDefault="00232E5A">
          <w:pPr>
            <w:pStyle w:val="Verzeichnis2"/>
            <w:tabs>
              <w:tab w:val="right" w:leader="dot" w:pos="9062"/>
            </w:tabs>
            <w:rPr>
              <w:rFonts w:eastAsiaTheme="minorEastAsia"/>
              <w:noProof/>
              <w:lang w:eastAsia="de-DE"/>
            </w:rPr>
          </w:pPr>
          <w:hyperlink w:anchor="_Toc156824943" w:history="1">
            <w:r w:rsidRPr="00A20B79">
              <w:rPr>
                <w:rStyle w:val="Hyperlink"/>
                <w:noProof/>
                <w:lang w:val="en-US"/>
              </w:rPr>
              <w:t>Income Statement</w:t>
            </w:r>
            <w:r>
              <w:rPr>
                <w:noProof/>
                <w:webHidden/>
              </w:rPr>
              <w:tab/>
            </w:r>
            <w:r>
              <w:rPr>
                <w:noProof/>
                <w:webHidden/>
              </w:rPr>
              <w:fldChar w:fldCharType="begin"/>
            </w:r>
            <w:r>
              <w:rPr>
                <w:noProof/>
                <w:webHidden/>
              </w:rPr>
              <w:instrText xml:space="preserve"> PAGEREF _Toc156824943 \h </w:instrText>
            </w:r>
            <w:r>
              <w:rPr>
                <w:noProof/>
                <w:webHidden/>
              </w:rPr>
            </w:r>
            <w:r>
              <w:rPr>
                <w:noProof/>
                <w:webHidden/>
              </w:rPr>
              <w:fldChar w:fldCharType="separate"/>
            </w:r>
            <w:r w:rsidR="00AB61E9">
              <w:rPr>
                <w:noProof/>
                <w:webHidden/>
              </w:rPr>
              <w:t>15</w:t>
            </w:r>
            <w:r>
              <w:rPr>
                <w:noProof/>
                <w:webHidden/>
              </w:rPr>
              <w:fldChar w:fldCharType="end"/>
            </w:r>
          </w:hyperlink>
        </w:p>
        <w:p w14:paraId="093171A4" w14:textId="0FB3EEBD" w:rsidR="00232E5A" w:rsidRDefault="00232E5A">
          <w:pPr>
            <w:pStyle w:val="Verzeichnis2"/>
            <w:tabs>
              <w:tab w:val="right" w:leader="dot" w:pos="9062"/>
            </w:tabs>
            <w:rPr>
              <w:rFonts w:eastAsiaTheme="minorEastAsia"/>
              <w:noProof/>
              <w:lang w:eastAsia="de-DE"/>
            </w:rPr>
          </w:pPr>
          <w:hyperlink w:anchor="_Toc156824944" w:history="1">
            <w:r w:rsidRPr="00A20B79">
              <w:rPr>
                <w:rStyle w:val="Hyperlink"/>
                <w:noProof/>
                <w:lang w:val="en-US"/>
              </w:rPr>
              <w:t>Balance Sheet</w:t>
            </w:r>
            <w:r>
              <w:rPr>
                <w:noProof/>
                <w:webHidden/>
              </w:rPr>
              <w:tab/>
            </w:r>
            <w:r>
              <w:rPr>
                <w:noProof/>
                <w:webHidden/>
              </w:rPr>
              <w:fldChar w:fldCharType="begin"/>
            </w:r>
            <w:r>
              <w:rPr>
                <w:noProof/>
                <w:webHidden/>
              </w:rPr>
              <w:instrText xml:space="preserve"> PAGEREF _Toc156824944 \h </w:instrText>
            </w:r>
            <w:r>
              <w:rPr>
                <w:noProof/>
                <w:webHidden/>
              </w:rPr>
            </w:r>
            <w:r>
              <w:rPr>
                <w:noProof/>
                <w:webHidden/>
              </w:rPr>
              <w:fldChar w:fldCharType="separate"/>
            </w:r>
            <w:r w:rsidR="00AB61E9">
              <w:rPr>
                <w:noProof/>
                <w:webHidden/>
              </w:rPr>
              <w:t>16</w:t>
            </w:r>
            <w:r>
              <w:rPr>
                <w:noProof/>
                <w:webHidden/>
              </w:rPr>
              <w:fldChar w:fldCharType="end"/>
            </w:r>
          </w:hyperlink>
        </w:p>
        <w:p w14:paraId="48E14C09" w14:textId="4E548B51" w:rsidR="00232E5A" w:rsidRDefault="00232E5A">
          <w:pPr>
            <w:pStyle w:val="Verzeichnis2"/>
            <w:tabs>
              <w:tab w:val="right" w:leader="dot" w:pos="9062"/>
            </w:tabs>
            <w:rPr>
              <w:rFonts w:eastAsiaTheme="minorEastAsia"/>
              <w:noProof/>
              <w:lang w:eastAsia="de-DE"/>
            </w:rPr>
          </w:pPr>
          <w:hyperlink w:anchor="_Toc156824945" w:history="1">
            <w:r w:rsidRPr="00A20B79">
              <w:rPr>
                <w:rStyle w:val="Hyperlink"/>
                <w:noProof/>
                <w:lang w:val="en-US"/>
              </w:rPr>
              <w:t>Cash Flow Satement</w:t>
            </w:r>
            <w:r>
              <w:rPr>
                <w:noProof/>
                <w:webHidden/>
              </w:rPr>
              <w:tab/>
            </w:r>
            <w:r>
              <w:rPr>
                <w:noProof/>
                <w:webHidden/>
              </w:rPr>
              <w:fldChar w:fldCharType="begin"/>
            </w:r>
            <w:r>
              <w:rPr>
                <w:noProof/>
                <w:webHidden/>
              </w:rPr>
              <w:instrText xml:space="preserve"> PAGEREF _Toc156824945 \h </w:instrText>
            </w:r>
            <w:r>
              <w:rPr>
                <w:noProof/>
                <w:webHidden/>
              </w:rPr>
            </w:r>
            <w:r>
              <w:rPr>
                <w:noProof/>
                <w:webHidden/>
              </w:rPr>
              <w:fldChar w:fldCharType="separate"/>
            </w:r>
            <w:r w:rsidR="00AB61E9">
              <w:rPr>
                <w:noProof/>
                <w:webHidden/>
              </w:rPr>
              <w:t>17</w:t>
            </w:r>
            <w:r>
              <w:rPr>
                <w:noProof/>
                <w:webHidden/>
              </w:rPr>
              <w:fldChar w:fldCharType="end"/>
            </w:r>
          </w:hyperlink>
        </w:p>
        <w:p w14:paraId="062EDC99" w14:textId="479F5B0C" w:rsidR="00232E5A" w:rsidRDefault="00232E5A">
          <w:pPr>
            <w:pStyle w:val="Verzeichnis2"/>
            <w:tabs>
              <w:tab w:val="right" w:leader="dot" w:pos="9062"/>
            </w:tabs>
            <w:rPr>
              <w:rFonts w:eastAsiaTheme="minorEastAsia"/>
              <w:noProof/>
              <w:lang w:eastAsia="de-DE"/>
            </w:rPr>
          </w:pPr>
          <w:hyperlink w:anchor="_Toc156824946" w:history="1">
            <w:r w:rsidRPr="00A20B79">
              <w:rPr>
                <w:rStyle w:val="Hyperlink"/>
                <w:noProof/>
                <w:lang w:val="en-US"/>
              </w:rPr>
              <w:t>Ratios und Bewertungs-Multiples</w:t>
            </w:r>
            <w:r>
              <w:rPr>
                <w:noProof/>
                <w:webHidden/>
              </w:rPr>
              <w:tab/>
            </w:r>
            <w:r>
              <w:rPr>
                <w:noProof/>
                <w:webHidden/>
              </w:rPr>
              <w:fldChar w:fldCharType="begin"/>
            </w:r>
            <w:r>
              <w:rPr>
                <w:noProof/>
                <w:webHidden/>
              </w:rPr>
              <w:instrText xml:space="preserve"> PAGEREF _Toc156824946 \h </w:instrText>
            </w:r>
            <w:r>
              <w:rPr>
                <w:noProof/>
                <w:webHidden/>
              </w:rPr>
            </w:r>
            <w:r>
              <w:rPr>
                <w:noProof/>
                <w:webHidden/>
              </w:rPr>
              <w:fldChar w:fldCharType="separate"/>
            </w:r>
            <w:r w:rsidR="00AB61E9">
              <w:rPr>
                <w:noProof/>
                <w:webHidden/>
              </w:rPr>
              <w:t>18</w:t>
            </w:r>
            <w:r>
              <w:rPr>
                <w:noProof/>
                <w:webHidden/>
              </w:rPr>
              <w:fldChar w:fldCharType="end"/>
            </w:r>
          </w:hyperlink>
        </w:p>
        <w:p w14:paraId="4ED19F91" w14:textId="664F150E" w:rsidR="00232E5A" w:rsidRDefault="00232E5A">
          <w:pPr>
            <w:pStyle w:val="Verzeichnis2"/>
            <w:tabs>
              <w:tab w:val="right" w:leader="dot" w:pos="9062"/>
            </w:tabs>
            <w:rPr>
              <w:rFonts w:eastAsiaTheme="minorEastAsia"/>
              <w:noProof/>
              <w:lang w:eastAsia="de-DE"/>
            </w:rPr>
          </w:pPr>
          <w:hyperlink w:anchor="_Toc156824947" w:history="1">
            <w:r w:rsidRPr="00A20B79">
              <w:rPr>
                <w:rStyle w:val="Hyperlink"/>
                <w:noProof/>
                <w:lang w:val="en-US"/>
              </w:rPr>
              <w:t>Relative-Valuation Modell</w:t>
            </w:r>
            <w:r>
              <w:rPr>
                <w:noProof/>
                <w:webHidden/>
              </w:rPr>
              <w:tab/>
            </w:r>
            <w:r>
              <w:rPr>
                <w:noProof/>
                <w:webHidden/>
              </w:rPr>
              <w:fldChar w:fldCharType="begin"/>
            </w:r>
            <w:r>
              <w:rPr>
                <w:noProof/>
                <w:webHidden/>
              </w:rPr>
              <w:instrText xml:space="preserve"> PAGEREF _Toc156824947 \h </w:instrText>
            </w:r>
            <w:r>
              <w:rPr>
                <w:noProof/>
                <w:webHidden/>
              </w:rPr>
            </w:r>
            <w:r>
              <w:rPr>
                <w:noProof/>
                <w:webHidden/>
              </w:rPr>
              <w:fldChar w:fldCharType="separate"/>
            </w:r>
            <w:r w:rsidR="00AB61E9">
              <w:rPr>
                <w:noProof/>
                <w:webHidden/>
              </w:rPr>
              <w:t>19</w:t>
            </w:r>
            <w:r>
              <w:rPr>
                <w:noProof/>
                <w:webHidden/>
              </w:rPr>
              <w:fldChar w:fldCharType="end"/>
            </w:r>
          </w:hyperlink>
        </w:p>
        <w:p w14:paraId="5AE34A2D" w14:textId="0CC05321" w:rsidR="00232E5A" w:rsidRDefault="00232E5A">
          <w:pPr>
            <w:pStyle w:val="Verzeichnis2"/>
            <w:tabs>
              <w:tab w:val="right" w:leader="dot" w:pos="9062"/>
            </w:tabs>
            <w:rPr>
              <w:rFonts w:eastAsiaTheme="minorEastAsia"/>
              <w:noProof/>
              <w:lang w:eastAsia="de-DE"/>
            </w:rPr>
          </w:pPr>
          <w:hyperlink w:anchor="_Toc156824948" w:history="1">
            <w:r w:rsidRPr="00A20B79">
              <w:rPr>
                <w:rStyle w:val="Hyperlink"/>
                <w:noProof/>
                <w:lang w:val="en-US"/>
              </w:rPr>
              <w:t>Kering DCF</w:t>
            </w:r>
            <w:r>
              <w:rPr>
                <w:noProof/>
                <w:webHidden/>
              </w:rPr>
              <w:tab/>
            </w:r>
            <w:r>
              <w:rPr>
                <w:noProof/>
                <w:webHidden/>
              </w:rPr>
              <w:fldChar w:fldCharType="begin"/>
            </w:r>
            <w:r>
              <w:rPr>
                <w:noProof/>
                <w:webHidden/>
              </w:rPr>
              <w:instrText xml:space="preserve"> PAGEREF _Toc156824948 \h </w:instrText>
            </w:r>
            <w:r>
              <w:rPr>
                <w:noProof/>
                <w:webHidden/>
              </w:rPr>
            </w:r>
            <w:r>
              <w:rPr>
                <w:noProof/>
                <w:webHidden/>
              </w:rPr>
              <w:fldChar w:fldCharType="separate"/>
            </w:r>
            <w:r w:rsidR="00AB61E9">
              <w:rPr>
                <w:noProof/>
                <w:webHidden/>
              </w:rPr>
              <w:t>20</w:t>
            </w:r>
            <w:r>
              <w:rPr>
                <w:noProof/>
                <w:webHidden/>
              </w:rPr>
              <w:fldChar w:fldCharType="end"/>
            </w:r>
          </w:hyperlink>
        </w:p>
        <w:p w14:paraId="5CA18BA5" w14:textId="7E983F83" w:rsidR="00232E5A" w:rsidRDefault="00232E5A">
          <w:pPr>
            <w:pStyle w:val="Verzeichnis3"/>
            <w:tabs>
              <w:tab w:val="right" w:leader="dot" w:pos="9062"/>
            </w:tabs>
            <w:rPr>
              <w:rFonts w:eastAsiaTheme="minorEastAsia"/>
              <w:noProof/>
              <w:lang w:eastAsia="de-DE"/>
            </w:rPr>
          </w:pPr>
          <w:hyperlink w:anchor="_Toc156824949" w:history="1">
            <w:r w:rsidRPr="00A20B79">
              <w:rPr>
                <w:rStyle w:val="Hyperlink"/>
                <w:noProof/>
                <w:lang w:val="en-US"/>
              </w:rPr>
              <w:t>Annahmen Income Statement</w:t>
            </w:r>
            <w:r>
              <w:rPr>
                <w:noProof/>
                <w:webHidden/>
              </w:rPr>
              <w:tab/>
            </w:r>
            <w:r>
              <w:rPr>
                <w:noProof/>
                <w:webHidden/>
              </w:rPr>
              <w:fldChar w:fldCharType="begin"/>
            </w:r>
            <w:r>
              <w:rPr>
                <w:noProof/>
                <w:webHidden/>
              </w:rPr>
              <w:instrText xml:space="preserve"> PAGEREF _Toc156824949 \h </w:instrText>
            </w:r>
            <w:r>
              <w:rPr>
                <w:noProof/>
                <w:webHidden/>
              </w:rPr>
            </w:r>
            <w:r>
              <w:rPr>
                <w:noProof/>
                <w:webHidden/>
              </w:rPr>
              <w:fldChar w:fldCharType="separate"/>
            </w:r>
            <w:r w:rsidR="00AB61E9">
              <w:rPr>
                <w:noProof/>
                <w:webHidden/>
              </w:rPr>
              <w:t>21</w:t>
            </w:r>
            <w:r>
              <w:rPr>
                <w:noProof/>
                <w:webHidden/>
              </w:rPr>
              <w:fldChar w:fldCharType="end"/>
            </w:r>
          </w:hyperlink>
        </w:p>
        <w:p w14:paraId="3C7716FA" w14:textId="17BF368A" w:rsidR="00232E5A" w:rsidRDefault="00232E5A">
          <w:pPr>
            <w:pStyle w:val="Verzeichnis3"/>
            <w:tabs>
              <w:tab w:val="right" w:leader="dot" w:pos="9062"/>
            </w:tabs>
            <w:rPr>
              <w:rFonts w:eastAsiaTheme="minorEastAsia"/>
              <w:noProof/>
              <w:lang w:eastAsia="de-DE"/>
            </w:rPr>
          </w:pPr>
          <w:hyperlink w:anchor="_Toc156824950" w:history="1">
            <w:r w:rsidRPr="00A20B79">
              <w:rPr>
                <w:rStyle w:val="Hyperlink"/>
                <w:noProof/>
                <w:lang w:val="en-US"/>
              </w:rPr>
              <w:t>Working Capital Scheduele</w:t>
            </w:r>
            <w:r>
              <w:rPr>
                <w:noProof/>
                <w:webHidden/>
              </w:rPr>
              <w:tab/>
            </w:r>
            <w:r>
              <w:rPr>
                <w:noProof/>
                <w:webHidden/>
              </w:rPr>
              <w:fldChar w:fldCharType="begin"/>
            </w:r>
            <w:r>
              <w:rPr>
                <w:noProof/>
                <w:webHidden/>
              </w:rPr>
              <w:instrText xml:space="preserve"> PAGEREF _Toc156824950 \h </w:instrText>
            </w:r>
            <w:r>
              <w:rPr>
                <w:noProof/>
                <w:webHidden/>
              </w:rPr>
            </w:r>
            <w:r>
              <w:rPr>
                <w:noProof/>
                <w:webHidden/>
              </w:rPr>
              <w:fldChar w:fldCharType="separate"/>
            </w:r>
            <w:r w:rsidR="00AB61E9">
              <w:rPr>
                <w:noProof/>
                <w:webHidden/>
              </w:rPr>
              <w:t>22</w:t>
            </w:r>
            <w:r>
              <w:rPr>
                <w:noProof/>
                <w:webHidden/>
              </w:rPr>
              <w:fldChar w:fldCharType="end"/>
            </w:r>
          </w:hyperlink>
        </w:p>
        <w:p w14:paraId="3FB94D16" w14:textId="039E8160" w:rsidR="00232E5A" w:rsidRDefault="00232E5A">
          <w:pPr>
            <w:pStyle w:val="Verzeichnis3"/>
            <w:tabs>
              <w:tab w:val="right" w:leader="dot" w:pos="9062"/>
            </w:tabs>
            <w:rPr>
              <w:rFonts w:eastAsiaTheme="minorEastAsia"/>
              <w:noProof/>
              <w:lang w:eastAsia="de-DE"/>
            </w:rPr>
          </w:pPr>
          <w:hyperlink w:anchor="_Toc156824951" w:history="1">
            <w:r w:rsidRPr="00A20B79">
              <w:rPr>
                <w:rStyle w:val="Hyperlink"/>
                <w:noProof/>
                <w:lang w:val="en-US"/>
              </w:rPr>
              <w:t>Fixed Assests Scheduele</w:t>
            </w:r>
            <w:r>
              <w:rPr>
                <w:noProof/>
                <w:webHidden/>
              </w:rPr>
              <w:tab/>
            </w:r>
            <w:r>
              <w:rPr>
                <w:noProof/>
                <w:webHidden/>
              </w:rPr>
              <w:fldChar w:fldCharType="begin"/>
            </w:r>
            <w:r>
              <w:rPr>
                <w:noProof/>
                <w:webHidden/>
              </w:rPr>
              <w:instrText xml:space="preserve"> PAGEREF _Toc156824951 \h </w:instrText>
            </w:r>
            <w:r>
              <w:rPr>
                <w:noProof/>
                <w:webHidden/>
              </w:rPr>
            </w:r>
            <w:r>
              <w:rPr>
                <w:noProof/>
                <w:webHidden/>
              </w:rPr>
              <w:fldChar w:fldCharType="separate"/>
            </w:r>
            <w:r w:rsidR="00AB61E9">
              <w:rPr>
                <w:noProof/>
                <w:webHidden/>
              </w:rPr>
              <w:t>23</w:t>
            </w:r>
            <w:r>
              <w:rPr>
                <w:noProof/>
                <w:webHidden/>
              </w:rPr>
              <w:fldChar w:fldCharType="end"/>
            </w:r>
          </w:hyperlink>
        </w:p>
        <w:p w14:paraId="42CF1DC8" w14:textId="14C5F6CB" w:rsidR="00232E5A" w:rsidRDefault="00232E5A">
          <w:pPr>
            <w:pStyle w:val="Verzeichnis3"/>
            <w:tabs>
              <w:tab w:val="right" w:leader="dot" w:pos="9062"/>
            </w:tabs>
            <w:rPr>
              <w:rFonts w:eastAsiaTheme="minorEastAsia"/>
              <w:noProof/>
              <w:lang w:eastAsia="de-DE"/>
            </w:rPr>
          </w:pPr>
          <w:hyperlink w:anchor="_Toc156824952" w:history="1">
            <w:r w:rsidRPr="00A20B79">
              <w:rPr>
                <w:rStyle w:val="Hyperlink"/>
                <w:noProof/>
                <w:lang w:val="en-US"/>
              </w:rPr>
              <w:t>Debt Scheduele</w:t>
            </w:r>
            <w:r>
              <w:rPr>
                <w:noProof/>
                <w:webHidden/>
              </w:rPr>
              <w:tab/>
            </w:r>
            <w:r>
              <w:rPr>
                <w:noProof/>
                <w:webHidden/>
              </w:rPr>
              <w:fldChar w:fldCharType="begin"/>
            </w:r>
            <w:r>
              <w:rPr>
                <w:noProof/>
                <w:webHidden/>
              </w:rPr>
              <w:instrText xml:space="preserve"> PAGEREF _Toc156824952 \h </w:instrText>
            </w:r>
            <w:r>
              <w:rPr>
                <w:noProof/>
                <w:webHidden/>
              </w:rPr>
            </w:r>
            <w:r>
              <w:rPr>
                <w:noProof/>
                <w:webHidden/>
              </w:rPr>
              <w:fldChar w:fldCharType="separate"/>
            </w:r>
            <w:r w:rsidR="00AB61E9">
              <w:rPr>
                <w:noProof/>
                <w:webHidden/>
              </w:rPr>
              <w:t>24</w:t>
            </w:r>
            <w:r>
              <w:rPr>
                <w:noProof/>
                <w:webHidden/>
              </w:rPr>
              <w:fldChar w:fldCharType="end"/>
            </w:r>
          </w:hyperlink>
        </w:p>
        <w:p w14:paraId="1EB664DD" w14:textId="6162B9FF" w:rsidR="00232E5A" w:rsidRDefault="00232E5A">
          <w:pPr>
            <w:pStyle w:val="Verzeichnis3"/>
            <w:tabs>
              <w:tab w:val="right" w:leader="dot" w:pos="9062"/>
            </w:tabs>
            <w:rPr>
              <w:rFonts w:eastAsiaTheme="minorEastAsia"/>
              <w:noProof/>
              <w:lang w:eastAsia="de-DE"/>
            </w:rPr>
          </w:pPr>
          <w:hyperlink w:anchor="_Toc156824953" w:history="1">
            <w:r w:rsidRPr="00A20B79">
              <w:rPr>
                <w:rStyle w:val="Hyperlink"/>
                <w:noProof/>
                <w:lang w:val="en-US"/>
              </w:rPr>
              <w:t>Discount Rates</w:t>
            </w:r>
            <w:r>
              <w:rPr>
                <w:noProof/>
                <w:webHidden/>
              </w:rPr>
              <w:tab/>
            </w:r>
            <w:r>
              <w:rPr>
                <w:noProof/>
                <w:webHidden/>
              </w:rPr>
              <w:fldChar w:fldCharType="begin"/>
            </w:r>
            <w:r>
              <w:rPr>
                <w:noProof/>
                <w:webHidden/>
              </w:rPr>
              <w:instrText xml:space="preserve"> PAGEREF _Toc156824953 \h </w:instrText>
            </w:r>
            <w:r>
              <w:rPr>
                <w:noProof/>
                <w:webHidden/>
              </w:rPr>
            </w:r>
            <w:r>
              <w:rPr>
                <w:noProof/>
                <w:webHidden/>
              </w:rPr>
              <w:fldChar w:fldCharType="separate"/>
            </w:r>
            <w:r w:rsidR="00AB61E9">
              <w:rPr>
                <w:noProof/>
                <w:webHidden/>
              </w:rPr>
              <w:t>25</w:t>
            </w:r>
            <w:r>
              <w:rPr>
                <w:noProof/>
                <w:webHidden/>
              </w:rPr>
              <w:fldChar w:fldCharType="end"/>
            </w:r>
          </w:hyperlink>
        </w:p>
        <w:p w14:paraId="564838A4" w14:textId="7437C78E" w:rsidR="00232E5A" w:rsidRDefault="00232E5A">
          <w:pPr>
            <w:pStyle w:val="Verzeichnis1"/>
            <w:tabs>
              <w:tab w:val="right" w:leader="dot" w:pos="9062"/>
            </w:tabs>
            <w:rPr>
              <w:rFonts w:eastAsiaTheme="minorEastAsia"/>
              <w:noProof/>
              <w:lang w:eastAsia="de-DE"/>
            </w:rPr>
          </w:pPr>
          <w:hyperlink r:id="rId11" w:anchor="_Toc156824954" w:history="1">
            <w:r w:rsidRPr="00A20B79">
              <w:rPr>
                <w:rStyle w:val="Hyperlink"/>
                <w:noProof/>
                <w:lang w:val="en-US"/>
              </w:rPr>
              <w:t>Teil III: Investment Case und Fazit</w:t>
            </w:r>
            <w:r>
              <w:rPr>
                <w:noProof/>
                <w:webHidden/>
              </w:rPr>
              <w:tab/>
            </w:r>
            <w:r>
              <w:rPr>
                <w:noProof/>
                <w:webHidden/>
              </w:rPr>
              <w:fldChar w:fldCharType="begin"/>
            </w:r>
            <w:r>
              <w:rPr>
                <w:noProof/>
                <w:webHidden/>
              </w:rPr>
              <w:instrText xml:space="preserve"> PAGEREF _Toc156824954 \h </w:instrText>
            </w:r>
            <w:r>
              <w:rPr>
                <w:noProof/>
                <w:webHidden/>
              </w:rPr>
            </w:r>
            <w:r>
              <w:rPr>
                <w:noProof/>
                <w:webHidden/>
              </w:rPr>
              <w:fldChar w:fldCharType="separate"/>
            </w:r>
            <w:r w:rsidR="00AB61E9">
              <w:rPr>
                <w:noProof/>
                <w:webHidden/>
              </w:rPr>
              <w:t>28</w:t>
            </w:r>
            <w:r>
              <w:rPr>
                <w:noProof/>
                <w:webHidden/>
              </w:rPr>
              <w:fldChar w:fldCharType="end"/>
            </w:r>
          </w:hyperlink>
        </w:p>
        <w:p w14:paraId="2BB1DAEC" w14:textId="714FBE9D" w:rsidR="00232E5A" w:rsidRDefault="00232E5A">
          <w:pPr>
            <w:pStyle w:val="Verzeichnis2"/>
            <w:tabs>
              <w:tab w:val="right" w:leader="dot" w:pos="9062"/>
            </w:tabs>
            <w:rPr>
              <w:rFonts w:eastAsiaTheme="minorEastAsia"/>
              <w:noProof/>
              <w:lang w:eastAsia="de-DE"/>
            </w:rPr>
          </w:pPr>
          <w:hyperlink w:anchor="_Toc156824955" w:history="1">
            <w:r w:rsidRPr="00A20B79">
              <w:rPr>
                <w:rStyle w:val="Hyperlink"/>
                <w:noProof/>
              </w:rPr>
              <w:t>Investment Case, Chancen und Risiken</w:t>
            </w:r>
            <w:r>
              <w:rPr>
                <w:noProof/>
                <w:webHidden/>
              </w:rPr>
              <w:tab/>
            </w:r>
            <w:r>
              <w:rPr>
                <w:noProof/>
                <w:webHidden/>
              </w:rPr>
              <w:fldChar w:fldCharType="begin"/>
            </w:r>
            <w:r>
              <w:rPr>
                <w:noProof/>
                <w:webHidden/>
              </w:rPr>
              <w:instrText xml:space="preserve"> PAGEREF _Toc156824955 \h </w:instrText>
            </w:r>
            <w:r>
              <w:rPr>
                <w:noProof/>
                <w:webHidden/>
              </w:rPr>
            </w:r>
            <w:r>
              <w:rPr>
                <w:noProof/>
                <w:webHidden/>
              </w:rPr>
              <w:fldChar w:fldCharType="separate"/>
            </w:r>
            <w:r w:rsidR="00AB61E9">
              <w:rPr>
                <w:noProof/>
                <w:webHidden/>
              </w:rPr>
              <w:t>29</w:t>
            </w:r>
            <w:r>
              <w:rPr>
                <w:noProof/>
                <w:webHidden/>
              </w:rPr>
              <w:fldChar w:fldCharType="end"/>
            </w:r>
          </w:hyperlink>
        </w:p>
        <w:p w14:paraId="6128666D" w14:textId="7A55E55A" w:rsidR="00232E5A" w:rsidRDefault="00232E5A">
          <w:pPr>
            <w:pStyle w:val="Verzeichnis2"/>
            <w:tabs>
              <w:tab w:val="right" w:leader="dot" w:pos="9062"/>
            </w:tabs>
            <w:rPr>
              <w:rFonts w:eastAsiaTheme="minorEastAsia"/>
              <w:noProof/>
              <w:lang w:eastAsia="de-DE"/>
            </w:rPr>
          </w:pPr>
          <w:hyperlink w:anchor="_Toc156824956" w:history="1">
            <w:r w:rsidRPr="00A20B79">
              <w:rPr>
                <w:rStyle w:val="Hyperlink"/>
                <w:noProof/>
              </w:rPr>
              <w:t>Fazit</w:t>
            </w:r>
            <w:r>
              <w:rPr>
                <w:noProof/>
                <w:webHidden/>
              </w:rPr>
              <w:tab/>
            </w:r>
            <w:r>
              <w:rPr>
                <w:noProof/>
                <w:webHidden/>
              </w:rPr>
              <w:fldChar w:fldCharType="begin"/>
            </w:r>
            <w:r>
              <w:rPr>
                <w:noProof/>
                <w:webHidden/>
              </w:rPr>
              <w:instrText xml:space="preserve"> PAGEREF _Toc156824956 \h </w:instrText>
            </w:r>
            <w:r>
              <w:rPr>
                <w:noProof/>
                <w:webHidden/>
              </w:rPr>
            </w:r>
            <w:r>
              <w:rPr>
                <w:noProof/>
                <w:webHidden/>
              </w:rPr>
              <w:fldChar w:fldCharType="separate"/>
            </w:r>
            <w:r w:rsidR="00AB61E9">
              <w:rPr>
                <w:noProof/>
                <w:webHidden/>
              </w:rPr>
              <w:t>31</w:t>
            </w:r>
            <w:r>
              <w:rPr>
                <w:noProof/>
                <w:webHidden/>
              </w:rPr>
              <w:fldChar w:fldCharType="end"/>
            </w:r>
          </w:hyperlink>
        </w:p>
        <w:p w14:paraId="199620ED" w14:textId="65EE4381" w:rsidR="00817026" w:rsidRDefault="00817026">
          <w:r>
            <w:rPr>
              <w:b/>
              <w:bCs/>
            </w:rPr>
            <w:fldChar w:fldCharType="end"/>
          </w:r>
        </w:p>
      </w:sdtContent>
    </w:sdt>
    <w:p w14:paraId="04EAE686" w14:textId="554F6743" w:rsidR="00817026" w:rsidRPr="00817026" w:rsidRDefault="00817026" w:rsidP="00817026">
      <w:pPr>
        <w:pStyle w:val="Titel"/>
        <w:jc w:val="left"/>
        <w:rPr>
          <w:b w:val="0"/>
          <w:bCs w:val="0"/>
          <w:sz w:val="24"/>
          <w:szCs w:val="24"/>
          <w:u w:val="none"/>
        </w:rPr>
      </w:pPr>
    </w:p>
    <w:p w14:paraId="257EDEDD" w14:textId="3ADC4CFD" w:rsidR="00825BB8" w:rsidRDefault="00825BB8"/>
    <w:p w14:paraId="0A0B83D1" w14:textId="7735FF7E" w:rsidR="00825BB8" w:rsidRDefault="00825BB8">
      <w:r>
        <w:br w:type="page"/>
      </w:r>
    </w:p>
    <w:p w14:paraId="362D0B1A" w14:textId="7E5BBF0F" w:rsidR="00817026" w:rsidRDefault="00AB00BD">
      <w:pPr>
        <w:rPr>
          <w:rFonts w:asciiTheme="majorHAnsi" w:eastAsiaTheme="majorEastAsia" w:hAnsiTheme="majorHAnsi" w:cstheme="majorBidi"/>
          <w:b/>
          <w:bCs/>
          <w:spacing w:val="-10"/>
          <w:kern w:val="28"/>
          <w:sz w:val="36"/>
          <w:szCs w:val="36"/>
          <w:u w:val="single"/>
        </w:rPr>
      </w:pPr>
      <w:r>
        <w:rPr>
          <w:b/>
          <w:bCs/>
          <w:noProof/>
        </w:rPr>
        <w:lastRenderedPageBreak/>
        <w:drawing>
          <wp:anchor distT="0" distB="0" distL="114300" distR="114300" simplePos="0" relativeHeight="251673609" behindDoc="0" locked="0" layoutInCell="1" allowOverlap="1" wp14:anchorId="66670745" wp14:editId="7D63E1EA">
            <wp:simplePos x="0" y="0"/>
            <wp:positionH relativeFrom="margin">
              <wp:posOffset>-155776</wp:posOffset>
            </wp:positionH>
            <wp:positionV relativeFrom="paragraph">
              <wp:posOffset>-95017</wp:posOffset>
            </wp:positionV>
            <wp:extent cx="5760000" cy="1822328"/>
            <wp:effectExtent l="0" t="0" r="0" b="6985"/>
            <wp:wrapNone/>
            <wp:docPr id="1134503039" name="Grafik 7" descr="Ein Bild, das Schrift, Grafiken, Schwarz,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3039" name="Grafik 7" descr="Ein Bild, das Schrift, Grafiken, Schwarz, 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000" cy="1822328"/>
                    </a:xfrm>
                    <a:prstGeom prst="rect">
                      <a:avLst/>
                    </a:prstGeom>
                  </pic:spPr>
                </pic:pic>
              </a:graphicData>
            </a:graphic>
            <wp14:sizeRelH relativeFrom="margin">
              <wp14:pctWidth>0</wp14:pctWidth>
            </wp14:sizeRelH>
            <wp14:sizeRelV relativeFrom="margin">
              <wp14:pctHeight>0</wp14:pctHeight>
            </wp14:sizeRelV>
          </wp:anchor>
        </w:drawing>
      </w:r>
      <w:r w:rsidR="001226A0">
        <w:rPr>
          <w:noProof/>
        </w:rPr>
        <mc:AlternateContent>
          <mc:Choice Requires="wps">
            <w:drawing>
              <wp:anchor distT="45720" distB="45720" distL="114300" distR="114300" simplePos="0" relativeHeight="251675657" behindDoc="0" locked="0" layoutInCell="1" allowOverlap="1" wp14:anchorId="06C1836D" wp14:editId="18A3471F">
                <wp:simplePos x="0" y="0"/>
                <wp:positionH relativeFrom="margin">
                  <wp:posOffset>1156335</wp:posOffset>
                </wp:positionH>
                <wp:positionV relativeFrom="paragraph">
                  <wp:posOffset>6069581</wp:posOffset>
                </wp:positionV>
                <wp:extent cx="3441700" cy="2298700"/>
                <wp:effectExtent l="0" t="0" r="6350" b="6350"/>
                <wp:wrapSquare wrapText="bothSides"/>
                <wp:docPr id="8774679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2298700"/>
                        </a:xfrm>
                        <a:prstGeom prst="rect">
                          <a:avLst/>
                        </a:prstGeom>
                        <a:solidFill>
                          <a:schemeClr val="accent1">
                            <a:lumMod val="60000"/>
                            <a:lumOff val="40000"/>
                          </a:schemeClr>
                        </a:solidFill>
                        <a:ln w="9525">
                          <a:noFill/>
                          <a:miter lim="800000"/>
                          <a:headEnd/>
                          <a:tailEnd/>
                        </a:ln>
                      </wps:spPr>
                      <wps:txbx>
                        <w:txbxContent>
                          <w:p w14:paraId="225C91A8" w14:textId="77777777" w:rsidR="001226A0" w:rsidRPr="001226A0" w:rsidRDefault="001226A0" w:rsidP="001226A0">
                            <w:pPr>
                              <w:pStyle w:val="berschrift1"/>
                              <w:rPr>
                                <w:color w:val="FFFFFF" w:themeColor="background1"/>
                                <w:sz w:val="60"/>
                                <w:szCs w:val="60"/>
                              </w:rPr>
                            </w:pPr>
                            <w:bookmarkStart w:id="0" w:name="_Toc156824929"/>
                            <w:r w:rsidRPr="001226A0">
                              <w:rPr>
                                <w:color w:val="FFFFFF" w:themeColor="background1"/>
                                <w:sz w:val="60"/>
                                <w:szCs w:val="60"/>
                              </w:rPr>
                              <w:t>Teil I: Unternehmen und Geschäftsmodell</w:t>
                            </w:r>
                            <w:bookmarkEnd w:id="0"/>
                          </w:p>
                          <w:p w14:paraId="1D9483C4" w14:textId="3DB34B4D" w:rsidR="001226A0" w:rsidRDefault="00122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36D" id="Textfeld 2" o:spid="_x0000_s1029" type="#_x0000_t202" style="position:absolute;margin-left:91.05pt;margin-top:477.9pt;width:271pt;height:181pt;z-index:2516756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" fillcolor="#8eaadb [1940]" stroked="f">
                <v:textbox>
                  <w:txbxContent>
                    <w:p w14:paraId="225C91A8" w14:textId="77777777" w:rsidR="001226A0" w:rsidRPr="001226A0" w:rsidRDefault="001226A0" w:rsidP="001226A0">
                      <w:pPr>
                        <w:pStyle w:val="berschrift1"/>
                        <w:rPr>
                          <w:color w:val="FFFFFF" w:themeColor="background1"/>
                          <w:sz w:val="60"/>
                          <w:szCs w:val="60"/>
                        </w:rPr>
                      </w:pPr>
                      <w:bookmarkStart w:id="1" w:name="_Toc156824929"/>
                      <w:r w:rsidRPr="001226A0">
                        <w:rPr>
                          <w:color w:val="FFFFFF" w:themeColor="background1"/>
                          <w:sz w:val="60"/>
                          <w:szCs w:val="60"/>
                        </w:rPr>
                        <w:t>Teil I: Unternehmen und Geschäftsmodell</w:t>
                      </w:r>
                      <w:bookmarkEnd w:id="1"/>
                    </w:p>
                    <w:p w14:paraId="1D9483C4" w14:textId="3DB34B4D" w:rsidR="001226A0" w:rsidRDefault="001226A0"/>
                  </w:txbxContent>
                </v:textbox>
                <w10:wrap type="square" anchorx="margin"/>
              </v:shape>
            </w:pict>
          </mc:Fallback>
        </mc:AlternateContent>
      </w:r>
      <w:r w:rsidR="00825BB8">
        <w:rPr>
          <w:b/>
          <w:bCs/>
          <w:noProof/>
        </w:rPr>
        <mc:AlternateContent>
          <mc:Choice Requires="wps">
            <w:drawing>
              <wp:anchor distT="0" distB="0" distL="114300" distR="114300" simplePos="0" relativeHeight="251672585" behindDoc="0" locked="0" layoutInCell="1" allowOverlap="1" wp14:anchorId="0EA8E95A" wp14:editId="2B0ACC0B">
                <wp:simplePos x="0" y="0"/>
                <wp:positionH relativeFrom="page">
                  <wp:posOffset>-330200</wp:posOffset>
                </wp:positionH>
                <wp:positionV relativeFrom="paragraph">
                  <wp:posOffset>-6602095</wp:posOffset>
                </wp:positionV>
                <wp:extent cx="7975600" cy="16535400"/>
                <wp:effectExtent l="0" t="0" r="6350" b="0"/>
                <wp:wrapNone/>
                <wp:docPr id="1698024412" name="Rechteck 5"/>
                <wp:cNvGraphicFramePr/>
                <a:graphic xmlns:a="http://schemas.openxmlformats.org/drawingml/2006/main">
                  <a:graphicData uri="http://schemas.microsoft.com/office/word/2010/wordprocessingShape">
                    <wps:wsp>
                      <wps:cNvSpPr/>
                      <wps:spPr>
                        <a:xfrm>
                          <a:off x="0" y="0"/>
                          <a:ext cx="7975600" cy="16535400"/>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B7D9" id="Rechteck 5" o:spid="_x0000_s1026" style="position:absolute;margin-left:-26pt;margin-top:-519.85pt;width:628pt;height:1302pt;z-index:25167258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" fillcolor="#8eaadb [1940]" stroked="f" strokeweight="1pt">
                <w10:wrap anchorx="page"/>
              </v:rect>
            </w:pict>
          </mc:Fallback>
        </mc:AlternateContent>
      </w:r>
      <w:r w:rsidR="00817026">
        <w:br w:type="page"/>
      </w:r>
    </w:p>
    <w:p w14:paraId="389F4670" w14:textId="1728BF29" w:rsidR="00202653" w:rsidRDefault="00870322" w:rsidP="001226A0">
      <w:pPr>
        <w:pStyle w:val="Titel"/>
      </w:pPr>
      <w:r w:rsidRPr="00FB5CCD">
        <w:lastRenderedPageBreak/>
        <w:t>Kering</w:t>
      </w:r>
      <w:r w:rsidR="00FB2E02" w:rsidRPr="00FB5CCD">
        <w:t xml:space="preserve"> SA</w:t>
      </w:r>
    </w:p>
    <w:p w14:paraId="05A2138B" w14:textId="77777777" w:rsidR="001226A0" w:rsidRPr="001226A0" w:rsidRDefault="001226A0" w:rsidP="001226A0"/>
    <w:p w14:paraId="704C3E64" w14:textId="3B253F39" w:rsidR="00396DFF" w:rsidRPr="00171D8E" w:rsidRDefault="000725C2" w:rsidP="00906D3F">
      <w:pPr>
        <w:spacing w:after="0"/>
        <w:rPr>
          <w:b/>
          <w:bCs/>
        </w:rPr>
      </w:pPr>
      <w:r w:rsidRPr="00171D8E">
        <w:t>Das französische Unternehmen Kering SA gehört weltweit zu den führenden und größten Unternehmen im Luxus-Mode Segment</w:t>
      </w:r>
      <w:r w:rsidR="00063455" w:rsidRPr="00171D8E">
        <w:t xml:space="preserve">. Kering ist spezialisiert auf </w:t>
      </w:r>
      <w:r w:rsidR="009468BA" w:rsidRPr="00171D8E">
        <w:t xml:space="preserve">Lederwaren und </w:t>
      </w:r>
      <w:r w:rsidR="003A3B6A" w:rsidRPr="00171D8E">
        <w:t>Ready-</w:t>
      </w:r>
      <w:proofErr w:type="spellStart"/>
      <w:r w:rsidR="003A3B6A" w:rsidRPr="00171D8E">
        <w:t>to</w:t>
      </w:r>
      <w:proofErr w:type="spellEnd"/>
      <w:r w:rsidR="003A3B6A" w:rsidRPr="00171D8E">
        <w:t>-</w:t>
      </w:r>
      <w:proofErr w:type="spellStart"/>
      <w:r w:rsidR="003A3B6A" w:rsidRPr="00171D8E">
        <w:t>Wear</w:t>
      </w:r>
      <w:proofErr w:type="spellEnd"/>
      <w:r w:rsidR="003A3B6A" w:rsidRPr="00171D8E">
        <w:t xml:space="preserve"> </w:t>
      </w:r>
    </w:p>
    <w:p w14:paraId="13E233F9" w14:textId="7A5C4AC2" w:rsidR="00176934" w:rsidRDefault="003A3B6A" w:rsidP="00906D3F">
      <w:pPr>
        <w:spacing w:after="0"/>
      </w:pPr>
      <w:r>
        <w:t>Mode</w:t>
      </w:r>
      <w:r w:rsidR="008E3282">
        <w:t xml:space="preserve"> </w:t>
      </w:r>
      <w:r w:rsidR="008E3282" w:rsidRPr="009E290C">
        <w:t>(Prêt-à-Porter Fashion)</w:t>
      </w:r>
      <w:r>
        <w:t xml:space="preserve">, sowie </w:t>
      </w:r>
      <w:r w:rsidR="008E3282">
        <w:t xml:space="preserve">weitere </w:t>
      </w:r>
      <w:r w:rsidR="009E290C" w:rsidRPr="009E290C">
        <w:t>Accessoire</w:t>
      </w:r>
      <w:r w:rsidR="009E290C">
        <w:t>s</w:t>
      </w:r>
      <w:r>
        <w:t>.</w:t>
      </w:r>
      <w:r w:rsidR="009E290C">
        <w:t xml:space="preserve"> (z.B. Brillen und Schmuck).</w:t>
      </w:r>
      <w:r>
        <w:t xml:space="preserve"> Die </w:t>
      </w:r>
      <w:r w:rsidR="00D13E14">
        <w:t>Modehäuser de</w:t>
      </w:r>
      <w:r w:rsidR="009E290C">
        <w:t>s</w:t>
      </w:r>
      <w:r w:rsidR="00D13E14">
        <w:t xml:space="preserve"> Unternehmens </w:t>
      </w:r>
      <w:r>
        <w:t>sind u.a. Gucci</w:t>
      </w:r>
      <w:r w:rsidR="00D13E14">
        <w:t xml:space="preserve">, Saint </w:t>
      </w:r>
      <w:r w:rsidR="008A0327">
        <w:t>Laurent</w:t>
      </w:r>
      <w:r w:rsidR="00D13E14">
        <w:t xml:space="preserve">, Bottega </w:t>
      </w:r>
      <w:proofErr w:type="spellStart"/>
      <w:r w:rsidR="00D13E14">
        <w:t>Venetta</w:t>
      </w:r>
      <w:proofErr w:type="spellEnd"/>
      <w:r w:rsidR="00AA52D6">
        <w:t xml:space="preserve"> und weitere Modehäuser wie Balenciaga</w:t>
      </w:r>
      <w:r w:rsidR="00C56895">
        <w:t>,</w:t>
      </w:r>
      <w:r w:rsidR="00AA52D6">
        <w:t xml:space="preserve"> Alexander McQueen</w:t>
      </w:r>
      <w:r w:rsidR="00C56895">
        <w:t xml:space="preserve"> und Brioni</w:t>
      </w:r>
      <w:r w:rsidR="00AA52D6">
        <w:t xml:space="preserve">. </w:t>
      </w:r>
      <w:r w:rsidR="00A7613E">
        <w:t>Darüber hinaus</w:t>
      </w:r>
      <w:r w:rsidR="00AA52D6">
        <w:t xml:space="preserve"> besitzt Kering</w:t>
      </w:r>
      <w:r w:rsidR="00E441EF">
        <w:t xml:space="preserve"> die Marke</w:t>
      </w:r>
      <w:r w:rsidR="00AA52D6">
        <w:t xml:space="preserve"> Kering </w:t>
      </w:r>
      <w:proofErr w:type="spellStart"/>
      <w:r w:rsidR="00AA52D6">
        <w:t>Eyewear</w:t>
      </w:r>
      <w:proofErr w:type="spellEnd"/>
      <w:r w:rsidR="00AA52D6">
        <w:t xml:space="preserve">, welche </w:t>
      </w:r>
      <w:r w:rsidR="0067434A">
        <w:t>Luxus-</w:t>
      </w:r>
      <w:r w:rsidR="005A27FC">
        <w:t xml:space="preserve">Brillen </w:t>
      </w:r>
      <w:r w:rsidR="0067434A">
        <w:t xml:space="preserve">vertreibt. </w:t>
      </w:r>
      <w:r w:rsidR="00AC223A">
        <w:t xml:space="preserve">Das Portfolio von Kering </w:t>
      </w:r>
      <w:proofErr w:type="spellStart"/>
      <w:r w:rsidR="00AC223A">
        <w:t>Eyew</w:t>
      </w:r>
      <w:r w:rsidR="00C56895">
        <w:t>e</w:t>
      </w:r>
      <w:r w:rsidR="00AC223A">
        <w:t>ar</w:t>
      </w:r>
      <w:proofErr w:type="spellEnd"/>
      <w:r w:rsidR="00AC223A">
        <w:t xml:space="preserve"> umfasst insgesamt 14 Marken, wie Lindberg, </w:t>
      </w:r>
      <w:r w:rsidR="00325001">
        <w:t xml:space="preserve">Maui Jim, </w:t>
      </w:r>
      <w:proofErr w:type="spellStart"/>
      <w:r w:rsidR="008E7449">
        <w:t>Zeal</w:t>
      </w:r>
      <w:proofErr w:type="spellEnd"/>
      <w:r w:rsidR="008E7449">
        <w:t xml:space="preserve"> </w:t>
      </w:r>
      <w:proofErr w:type="spellStart"/>
      <w:r w:rsidR="008E7449">
        <w:t>Optics</w:t>
      </w:r>
      <w:proofErr w:type="spellEnd"/>
      <w:r w:rsidR="000725C2">
        <w:t xml:space="preserve"> sowie die anderen Hausmarken des Unternehmens.</w:t>
      </w:r>
      <w:r w:rsidR="008D7DDD">
        <w:t xml:space="preserve"> </w:t>
      </w:r>
      <w:r w:rsidR="00BE415E">
        <w:t xml:space="preserve">Die Marken </w:t>
      </w:r>
      <w:r w:rsidR="00715DE8" w:rsidRPr="00715DE8">
        <w:t xml:space="preserve"> Girard-</w:t>
      </w:r>
      <w:proofErr w:type="spellStart"/>
      <w:r w:rsidR="00715DE8" w:rsidRPr="00715DE8">
        <w:t>Perregaux</w:t>
      </w:r>
      <w:proofErr w:type="spellEnd"/>
      <w:r w:rsidR="00715DE8" w:rsidRPr="00715DE8">
        <w:t xml:space="preserve"> and Ulysse </w:t>
      </w:r>
      <w:proofErr w:type="spellStart"/>
      <w:r w:rsidR="00715DE8" w:rsidRPr="00715DE8">
        <w:t>Nardin</w:t>
      </w:r>
      <w:proofErr w:type="spellEnd"/>
      <w:r w:rsidR="00322770">
        <w:t xml:space="preserve"> (</w:t>
      </w:r>
      <w:r w:rsidR="00694B80">
        <w:t>Produkte sind hauptsächlich (Luxus-)Uhren)</w:t>
      </w:r>
      <w:r w:rsidR="00A435CD">
        <w:t xml:space="preserve"> wurde 2022</w:t>
      </w:r>
      <w:r w:rsidR="00176934">
        <w:t xml:space="preserve"> </w:t>
      </w:r>
      <w:r w:rsidR="003328AA">
        <w:t>für eine Summe im Bereich 600-800 Millionen Euro</w:t>
      </w:r>
      <w:r w:rsidR="00324921">
        <w:t xml:space="preserve"> (der genaue Betrag ist nicht bekannt)</w:t>
      </w:r>
      <w:r w:rsidR="00A435CD">
        <w:t xml:space="preserve"> verkauft.</w:t>
      </w:r>
    </w:p>
    <w:p w14:paraId="523AB191" w14:textId="5112BBDB" w:rsidR="00F203BB" w:rsidRDefault="00F50117" w:rsidP="005A27FC">
      <w:r>
        <w:rPr>
          <w:noProof/>
        </w:rPr>
        <w:drawing>
          <wp:anchor distT="0" distB="0" distL="114300" distR="114300" simplePos="0" relativeHeight="251658246" behindDoc="0" locked="0" layoutInCell="1" allowOverlap="1" wp14:anchorId="2F98427A" wp14:editId="450F6DFA">
            <wp:simplePos x="0" y="0"/>
            <wp:positionH relativeFrom="margin">
              <wp:align>left</wp:align>
            </wp:positionH>
            <wp:positionV relativeFrom="paragraph">
              <wp:posOffset>111125</wp:posOffset>
            </wp:positionV>
            <wp:extent cx="5284381" cy="3985776"/>
            <wp:effectExtent l="0" t="0" r="0" b="0"/>
            <wp:wrapNone/>
            <wp:docPr id="719375101"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75101" name="Grafik 4" descr="Ein Bild, das Text, Screenshot, Diagramm,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4381" cy="3985776"/>
                    </a:xfrm>
                    <a:prstGeom prst="rect">
                      <a:avLst/>
                    </a:prstGeom>
                  </pic:spPr>
                </pic:pic>
              </a:graphicData>
            </a:graphic>
            <wp14:sizeRelH relativeFrom="page">
              <wp14:pctWidth>0</wp14:pctWidth>
            </wp14:sizeRelH>
            <wp14:sizeRelV relativeFrom="page">
              <wp14:pctHeight>0</wp14:pctHeight>
            </wp14:sizeRelV>
          </wp:anchor>
        </w:drawing>
      </w:r>
    </w:p>
    <w:p w14:paraId="378ADEFA" w14:textId="29B648C7" w:rsidR="00D40D0E" w:rsidRDefault="00D40D0E" w:rsidP="00F203BB">
      <w:pPr>
        <w:pStyle w:val="berschrift2"/>
      </w:pPr>
    </w:p>
    <w:p w14:paraId="37586D49" w14:textId="77777777" w:rsidR="00D40D0E" w:rsidRDefault="00D40D0E" w:rsidP="00F203BB">
      <w:pPr>
        <w:pStyle w:val="berschrift2"/>
      </w:pPr>
    </w:p>
    <w:p w14:paraId="079C54E3" w14:textId="77777777" w:rsidR="00D40D0E" w:rsidRDefault="00D40D0E" w:rsidP="00F203BB">
      <w:pPr>
        <w:pStyle w:val="berschrift2"/>
      </w:pPr>
    </w:p>
    <w:p w14:paraId="796BC5DA" w14:textId="77777777" w:rsidR="00D40D0E" w:rsidRDefault="00D40D0E" w:rsidP="00F203BB">
      <w:pPr>
        <w:pStyle w:val="berschrift2"/>
      </w:pPr>
    </w:p>
    <w:p w14:paraId="1F44337F" w14:textId="77777777" w:rsidR="00D40D0E" w:rsidRDefault="00D40D0E" w:rsidP="00F203BB">
      <w:pPr>
        <w:pStyle w:val="berschrift2"/>
      </w:pPr>
    </w:p>
    <w:p w14:paraId="20FED76C" w14:textId="77777777" w:rsidR="00D40D0E" w:rsidRDefault="00D40D0E" w:rsidP="00F203BB">
      <w:pPr>
        <w:pStyle w:val="berschrift2"/>
      </w:pPr>
    </w:p>
    <w:p w14:paraId="35DE4B74" w14:textId="77777777" w:rsidR="00D40D0E" w:rsidRDefault="00D40D0E" w:rsidP="00F203BB">
      <w:pPr>
        <w:pStyle w:val="berschrift2"/>
      </w:pPr>
    </w:p>
    <w:p w14:paraId="4B9EF17B" w14:textId="43E14E73" w:rsidR="00D40D0E" w:rsidRDefault="00D40D0E" w:rsidP="00F203BB">
      <w:pPr>
        <w:pStyle w:val="berschrift2"/>
      </w:pPr>
    </w:p>
    <w:p w14:paraId="2313EE44" w14:textId="77777777" w:rsidR="00D40D0E" w:rsidRDefault="00D40D0E" w:rsidP="00F203BB">
      <w:pPr>
        <w:pStyle w:val="berschrift2"/>
      </w:pPr>
    </w:p>
    <w:p w14:paraId="2C72DE8E" w14:textId="77777777" w:rsidR="00D40D0E" w:rsidRDefault="00D40D0E" w:rsidP="00F203BB">
      <w:pPr>
        <w:pStyle w:val="berschrift2"/>
      </w:pPr>
    </w:p>
    <w:p w14:paraId="5C7CBDE8" w14:textId="77777777" w:rsidR="00D40D0E" w:rsidRDefault="00D40D0E" w:rsidP="00F203BB">
      <w:pPr>
        <w:pStyle w:val="berschrift2"/>
      </w:pPr>
    </w:p>
    <w:p w14:paraId="140507EE" w14:textId="77777777" w:rsidR="00F50117" w:rsidRDefault="00F50117" w:rsidP="00F203BB">
      <w:pPr>
        <w:pStyle w:val="berschrift2"/>
      </w:pPr>
    </w:p>
    <w:p w14:paraId="513AEA86" w14:textId="77777777" w:rsidR="00F50117" w:rsidRDefault="00F50117" w:rsidP="00F203BB">
      <w:pPr>
        <w:pStyle w:val="berschrift2"/>
      </w:pPr>
    </w:p>
    <w:p w14:paraId="15B88D27" w14:textId="77777777" w:rsidR="00F113F8" w:rsidRDefault="00F113F8" w:rsidP="00F113F8"/>
    <w:p w14:paraId="33D9A239" w14:textId="57F5B711" w:rsidR="00F50117" w:rsidRDefault="008F7ECE" w:rsidP="008F7ECE">
      <w:r>
        <w:rPr>
          <w:noProof/>
        </w:rPr>
        <mc:AlternateContent>
          <mc:Choice Requires="wps">
            <w:drawing>
              <wp:anchor distT="0" distB="0" distL="114300" distR="114300" simplePos="0" relativeHeight="251679753" behindDoc="0" locked="0" layoutInCell="1" allowOverlap="1" wp14:anchorId="5662C6E3" wp14:editId="5B163B29">
                <wp:simplePos x="0" y="0"/>
                <wp:positionH relativeFrom="margin">
                  <wp:align>left</wp:align>
                </wp:positionH>
                <wp:positionV relativeFrom="paragraph">
                  <wp:posOffset>71755</wp:posOffset>
                </wp:positionV>
                <wp:extent cx="5289550" cy="349250"/>
                <wp:effectExtent l="0" t="0" r="6350" b="0"/>
                <wp:wrapNone/>
                <wp:docPr id="1164380921" name="Rechteck 6"/>
                <wp:cNvGraphicFramePr/>
                <a:graphic xmlns:a="http://schemas.openxmlformats.org/drawingml/2006/main">
                  <a:graphicData uri="http://schemas.microsoft.com/office/word/2010/wordprocessingShape">
                    <wps:wsp>
                      <wps:cNvSpPr/>
                      <wps:spPr>
                        <a:xfrm>
                          <a:off x="0" y="0"/>
                          <a:ext cx="5289550" cy="3492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D7918" id="Rechteck 6" o:spid="_x0000_s1026" style="position:absolute;margin-left:0;margin-top:5.65pt;width:416.5pt;height:27.5pt;z-index:25167975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" fillcolor="white [3212]" stroked="f" strokeweight="1pt">
                <w10:wrap anchorx="margin"/>
              </v:rect>
            </w:pict>
          </mc:Fallback>
        </mc:AlternateContent>
      </w:r>
      <w:r>
        <w:rPr>
          <w:noProof/>
        </w:rPr>
        <mc:AlternateContent>
          <mc:Choice Requires="wpi">
            <w:drawing>
              <wp:anchor distT="0" distB="0" distL="114300" distR="114300" simplePos="0" relativeHeight="251677705" behindDoc="0" locked="0" layoutInCell="1" allowOverlap="1" wp14:anchorId="20A51E59" wp14:editId="5B6E430C">
                <wp:simplePos x="0" y="0"/>
                <wp:positionH relativeFrom="column">
                  <wp:posOffset>4408003</wp:posOffset>
                </wp:positionH>
                <wp:positionV relativeFrom="paragraph">
                  <wp:posOffset>194734</wp:posOffset>
                </wp:positionV>
                <wp:extent cx="795600" cy="20160"/>
                <wp:effectExtent l="114300" t="171450" r="119380" b="208915"/>
                <wp:wrapNone/>
                <wp:docPr id="864920466" name="Freihand 2"/>
                <wp:cNvGraphicFramePr/>
                <a:graphic xmlns:a="http://schemas.openxmlformats.org/drawingml/2006/main">
                  <a:graphicData uri="http://schemas.microsoft.com/office/word/2010/wordprocessingInk">
                    <w14:contentPart bwMode="auto" r:id="rId13">
                      <w14:nvContentPartPr>
                        <w14:cNvContentPartPr/>
                      </w14:nvContentPartPr>
                      <w14:xfrm>
                        <a:off x="0" y="0"/>
                        <a:ext cx="795600" cy="20160"/>
                      </w14:xfrm>
                    </w14:contentPart>
                  </a:graphicData>
                </a:graphic>
              </wp:anchor>
            </w:drawing>
          </mc:Choice>
          <mc:Fallback>
            <w:pict>
              <v:shape w14:anchorId="7392BBC7" id="Freihand 2" o:spid="_x0000_s1026" type="#_x0000_t75" style="position:absolute;margin-left:341.45pt;margin-top:4pt;width:74pt;height:24.3pt;z-index:2516777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">
                <v:imagedata r:id="rId14" o:title=""/>
              </v:shape>
            </w:pict>
          </mc:Fallback>
        </mc:AlternateContent>
      </w:r>
    </w:p>
    <w:p w14:paraId="3E3AD54D" w14:textId="77777777" w:rsidR="008F7ECE" w:rsidRDefault="008F7ECE" w:rsidP="008F7ECE"/>
    <w:p w14:paraId="13481667" w14:textId="5C43E5F4" w:rsidR="00176934" w:rsidRPr="00906D3F" w:rsidRDefault="00F203BB" w:rsidP="00906D3F">
      <w:pPr>
        <w:pStyle w:val="berschrift2"/>
      </w:pPr>
      <w:bookmarkStart w:id="2" w:name="_Toc156824930"/>
      <w:r w:rsidRPr="00906D3F">
        <w:t>Geschichte</w:t>
      </w:r>
      <w:bookmarkEnd w:id="2"/>
      <w:r w:rsidRPr="00906D3F">
        <w:t xml:space="preserve"> </w:t>
      </w:r>
    </w:p>
    <w:p w14:paraId="716F97DC" w14:textId="71EBB319" w:rsidR="007C4E6C" w:rsidRPr="00427EC8" w:rsidRDefault="00176934" w:rsidP="004807B9">
      <w:pPr>
        <w:spacing w:after="0" w:line="240" w:lineRule="auto"/>
      </w:pPr>
      <w:r>
        <w:t xml:space="preserve">Gegründet wurde das Unternehmen </w:t>
      </w:r>
      <w:r w:rsidR="00CC711C">
        <w:t xml:space="preserve">1963 von </w:t>
      </w:r>
      <w:r w:rsidR="00A464F6" w:rsidRPr="00A464F6">
        <w:t>François-Henri Pinault</w:t>
      </w:r>
      <w:r w:rsidR="00BC2455">
        <w:t xml:space="preserve"> (damals als Pinault-Gruppe). </w:t>
      </w:r>
      <w:r w:rsidR="00B20C81">
        <w:t>Als</w:t>
      </w:r>
      <w:r w:rsidR="00BC2455">
        <w:t xml:space="preserve"> </w:t>
      </w:r>
      <w:r w:rsidR="00B20C81">
        <w:t>Kering gegründet wurde</w:t>
      </w:r>
      <w:r w:rsidR="00BC2455">
        <w:t xml:space="preserve"> war </w:t>
      </w:r>
      <w:r w:rsidR="00B20C81">
        <w:t>das Unternehmen</w:t>
      </w:r>
      <w:r w:rsidR="00BC2455">
        <w:t xml:space="preserve"> in der </w:t>
      </w:r>
      <w:r w:rsidR="00C55DB2">
        <w:t xml:space="preserve">Holz- und Baustoffbranche tätig. Der Börsengang erfolgte 1988 an der Pariser Börse. </w:t>
      </w:r>
      <w:r w:rsidR="00D0492F">
        <w:t xml:space="preserve">Mit der Übernahme des Möbelkonzern </w:t>
      </w:r>
      <w:r w:rsidR="006E1975">
        <w:t xml:space="preserve">Conforama </w:t>
      </w:r>
      <w:r w:rsidR="00D03DA1">
        <w:t>stieg Kering in den Einzel</w:t>
      </w:r>
      <w:r w:rsidR="00B84651">
        <w:t>handel ein.</w:t>
      </w:r>
      <w:r w:rsidR="009D2A3D">
        <w:t xml:space="preserve"> Es folgte eine strategische Neuausrichtung des Konzerns. Man wollte sich weg von </w:t>
      </w:r>
      <w:r w:rsidR="00AC73B4">
        <w:t xml:space="preserve">der Holz- und Baubranche </w:t>
      </w:r>
      <w:r w:rsidR="00C1071F">
        <w:t>hin zum Einzelhandel bewegen.</w:t>
      </w:r>
      <w:r w:rsidR="00B21B10">
        <w:t xml:space="preserve"> Es folgten einige Übernahmen von kleinen Ein</w:t>
      </w:r>
      <w:r w:rsidR="006C479B">
        <w:t>zelhändlern (wurden später wieder verkauft)</w:t>
      </w:r>
      <w:r w:rsidR="00E0768B">
        <w:t>. 1999 erwarb Kering 40% der Anteile an Gucci</w:t>
      </w:r>
      <w:r w:rsidR="00D50E66">
        <w:t>. Es folgte eine Übernahmeschlacht, da zuvor auch LVMH Anteile an Gucci erwarb</w:t>
      </w:r>
      <w:r w:rsidR="00647266">
        <w:t xml:space="preserve">, welche Kering 2001 für sich entscheiden konnte und nun 53% an Gucci hielt. </w:t>
      </w:r>
      <w:r w:rsidR="00BD72D8">
        <w:t xml:space="preserve">Noch im Jahr 1999 akquirierte Gucci </w:t>
      </w:r>
      <w:r w:rsidR="00392A2F">
        <w:t xml:space="preserve">das </w:t>
      </w:r>
      <w:r w:rsidR="00F52F41">
        <w:t xml:space="preserve">die Schuhmarke </w:t>
      </w:r>
      <w:r w:rsidR="00794802">
        <w:t>Sergio Rossi.</w:t>
      </w:r>
      <w:r w:rsidR="006A0608">
        <w:t xml:space="preserve"> Außerdem wurde das Modehaus Yves Saint Laurent in die Gucci Gruppe integriert</w:t>
      </w:r>
      <w:r w:rsidR="007B7E24">
        <w:t>.</w:t>
      </w:r>
      <w:r w:rsidR="00794802">
        <w:t xml:space="preserve"> </w:t>
      </w:r>
      <w:r w:rsidR="00904165">
        <w:t xml:space="preserve">2001 erwarb Kering rund 53% an dem Modehaus Alexander McQueen. </w:t>
      </w:r>
      <w:r w:rsidR="004D0E53">
        <w:t>2004 baute Kering seine Beteiligung</w:t>
      </w:r>
      <w:r w:rsidR="00F2077B">
        <w:t xml:space="preserve"> an Gucci</w:t>
      </w:r>
      <w:r w:rsidR="004D0E53">
        <w:t xml:space="preserve"> durch ein öffentliche Übernahme Angebot aus und hielt nun 99,4% der Anteile</w:t>
      </w:r>
      <w:r w:rsidR="00F2077B">
        <w:t>.</w:t>
      </w:r>
      <w:r w:rsidR="00DE354E">
        <w:t xml:space="preserve"> 2007 versuchte Kering sich auch </w:t>
      </w:r>
      <w:r w:rsidR="00DE354E" w:rsidRPr="0058395D">
        <w:t xml:space="preserve">im </w:t>
      </w:r>
      <w:r w:rsidR="00187925" w:rsidRPr="0058395D">
        <w:t xml:space="preserve">Spotsegment zu etablieren, indem sie eine </w:t>
      </w:r>
      <w:r w:rsidR="00B26B24" w:rsidRPr="0058395D">
        <w:t>Mehrheitsbeteiligung an Puma erwarben.</w:t>
      </w:r>
      <w:r w:rsidR="0058395D">
        <w:t xml:space="preserve"> 2011 </w:t>
      </w:r>
      <w:r w:rsidR="00ED24D4">
        <w:t>kam es zu einer Umstru</w:t>
      </w:r>
      <w:r w:rsidR="00B869F7">
        <w:t xml:space="preserve">kturierung des </w:t>
      </w:r>
      <w:r w:rsidR="00B869F7">
        <w:lastRenderedPageBreak/>
        <w:t xml:space="preserve">Konzerns. Die internen </w:t>
      </w:r>
      <w:r w:rsidR="007B7E24">
        <w:t>Strukturen der</w:t>
      </w:r>
      <w:r w:rsidR="00B869F7">
        <w:t xml:space="preserve"> Gucci</w:t>
      </w:r>
      <w:r w:rsidR="007B7E24">
        <w:t xml:space="preserve"> Gruppe</w:t>
      </w:r>
      <w:r w:rsidR="00B869F7">
        <w:t xml:space="preserve"> wurden aufgebrochen und die Modeh</w:t>
      </w:r>
      <w:r w:rsidR="007B7E24">
        <w:t>ä</w:t>
      </w:r>
      <w:r w:rsidR="00B869F7">
        <w:t>use</w:t>
      </w:r>
      <w:r w:rsidR="007B7E24">
        <w:t>r</w:t>
      </w:r>
      <w:r w:rsidR="00B869F7">
        <w:t xml:space="preserve"> Saint </w:t>
      </w:r>
      <w:r w:rsidR="008A0327">
        <w:t>Laurent</w:t>
      </w:r>
      <w:r w:rsidR="00B869F7">
        <w:t xml:space="preserve"> und weitere </w:t>
      </w:r>
      <w:r w:rsidR="0012734B">
        <w:t xml:space="preserve">Unterhäuser Guccis wurden als </w:t>
      </w:r>
      <w:r w:rsidR="001E3FAA">
        <w:t>Tochtermarken in den Gesamtkonzern Kering integriert.</w:t>
      </w:r>
      <w:r w:rsidR="0016521E">
        <w:t xml:space="preserve"> 2012 und kam es zu einer weiteren Vergrößerung des Markenportfolios durch die Übernahme von u.a. Brio</w:t>
      </w:r>
      <w:r w:rsidR="00632465">
        <w:t xml:space="preserve">ni (noch heute im Konzern) sowie einiger Schmuckmarken. </w:t>
      </w:r>
      <w:r w:rsidR="00A329D1">
        <w:t xml:space="preserve">2013 kam die Umfirmierung des Gesamtkonzern in Kering. </w:t>
      </w:r>
      <w:r w:rsidR="005B309D">
        <w:t xml:space="preserve">(von </w:t>
      </w:r>
      <w:r w:rsidR="00AF50F1" w:rsidRPr="00AF50F1">
        <w:t>Pinault-Printemps-Redoute</w:t>
      </w:r>
      <w:r w:rsidR="00AF50F1">
        <w:t xml:space="preserve"> </w:t>
      </w:r>
      <w:r w:rsidR="005B309D">
        <w:t>in Kering)</w:t>
      </w:r>
      <w:r w:rsidR="00132087">
        <w:t>. Es folgten weitere Übernahmen</w:t>
      </w:r>
      <w:r w:rsidR="003E7A0C">
        <w:t xml:space="preserve"> (</w:t>
      </w:r>
      <w:r w:rsidR="00BF3AB9">
        <w:t xml:space="preserve">z.B. </w:t>
      </w:r>
      <w:r w:rsidR="003E7A0C">
        <w:t>Christopher Kane</w:t>
      </w:r>
      <w:r w:rsidR="00D25A5E">
        <w:t xml:space="preserve"> -&gt; 2018 wieder verkauft</w:t>
      </w:r>
      <w:r w:rsidR="00AF50F1">
        <w:t xml:space="preserve">, </w:t>
      </w:r>
      <w:proofErr w:type="spellStart"/>
      <w:r w:rsidR="00AF50F1">
        <w:t>etc</w:t>
      </w:r>
      <w:proofErr w:type="spellEnd"/>
      <w:r w:rsidR="00BF3AB9">
        <w:t>)</w:t>
      </w:r>
      <w:r w:rsidR="00132087">
        <w:t xml:space="preserve">, </w:t>
      </w:r>
      <w:r w:rsidR="00E659AB">
        <w:t>Minderheits-</w:t>
      </w:r>
      <w:r w:rsidR="00132087">
        <w:t>Beteiligungen</w:t>
      </w:r>
      <w:r w:rsidR="007009BA">
        <w:t xml:space="preserve"> (z.B. </w:t>
      </w:r>
      <w:proofErr w:type="spellStart"/>
      <w:r w:rsidR="007009BA">
        <w:t>Vestia</w:t>
      </w:r>
      <w:r w:rsidR="00E659AB">
        <w:t>i</w:t>
      </w:r>
      <w:r w:rsidR="007009BA">
        <w:t>re</w:t>
      </w:r>
      <w:proofErr w:type="spellEnd"/>
      <w:r w:rsidR="00E659AB">
        <w:t xml:space="preserve"> Collection)</w:t>
      </w:r>
      <w:r w:rsidR="00132087">
        <w:t xml:space="preserve"> </w:t>
      </w:r>
      <w:r w:rsidR="00761B40">
        <w:t>und Joint Ventures</w:t>
      </w:r>
      <w:r w:rsidR="001F12CD">
        <w:t xml:space="preserve">. Das Sport und Lifestyle Segment des Unternehmens wurde 2018 durch den Verkauf von Puma wieder </w:t>
      </w:r>
      <w:r w:rsidR="00901BB7">
        <w:t>aufgelöst. Das heutige Markenportfolio des Unternehmens umfasst</w:t>
      </w:r>
      <w:r w:rsidR="00EA7481">
        <w:t xml:space="preserve"> Gucci, Yves Saint-</w:t>
      </w:r>
      <w:r w:rsidR="008A0327">
        <w:t>Laurent</w:t>
      </w:r>
      <w:r w:rsidR="00EA7481">
        <w:t xml:space="preserve">, Bottega </w:t>
      </w:r>
      <w:proofErr w:type="spellStart"/>
      <w:r w:rsidR="00EA7481">
        <w:t>Veneta</w:t>
      </w:r>
      <w:proofErr w:type="spellEnd"/>
      <w:r w:rsidR="00EA7481">
        <w:t>, Balenciaga, Alexander McQueen, Brioni,</w:t>
      </w:r>
      <w:r w:rsidR="001B0F91">
        <w:t xml:space="preserve"> </w:t>
      </w:r>
      <w:r w:rsidR="00FD0AAC">
        <w:t>(Segment Mode und Lederware)</w:t>
      </w:r>
      <w:r w:rsidR="00EA7481">
        <w:t xml:space="preserve"> </w:t>
      </w:r>
      <w:proofErr w:type="spellStart"/>
      <w:r w:rsidR="00587ABD">
        <w:t>Boucheron</w:t>
      </w:r>
      <w:proofErr w:type="spellEnd"/>
      <w:r w:rsidR="00587ABD">
        <w:t xml:space="preserve">, </w:t>
      </w:r>
      <w:proofErr w:type="spellStart"/>
      <w:r w:rsidR="00587ABD">
        <w:t>Pomellato</w:t>
      </w:r>
      <w:proofErr w:type="spellEnd"/>
      <w:r w:rsidR="00587ABD">
        <w:t xml:space="preserve">, </w:t>
      </w:r>
      <w:r w:rsidR="00AA05DA">
        <w:t xml:space="preserve">Dodo, </w:t>
      </w:r>
      <w:proofErr w:type="spellStart"/>
      <w:r w:rsidR="00AA05DA">
        <w:t>Queelin</w:t>
      </w:r>
      <w:proofErr w:type="spellEnd"/>
      <w:r w:rsidR="00AA05DA">
        <w:t xml:space="preserve"> (Segment Schmuck) </w:t>
      </w:r>
      <w:r w:rsidR="00CC47CE">
        <w:t xml:space="preserve">sowie </w:t>
      </w:r>
      <w:r w:rsidR="00EA7481">
        <w:t xml:space="preserve">Kering </w:t>
      </w:r>
      <w:proofErr w:type="spellStart"/>
      <w:r w:rsidR="00EA7481">
        <w:t>Eyewear</w:t>
      </w:r>
      <w:proofErr w:type="spellEnd"/>
      <w:r w:rsidR="006044C4">
        <w:t xml:space="preserve"> (Brillen</w:t>
      </w:r>
      <w:r w:rsidR="00AA15A4">
        <w:t xml:space="preserve"> von </w:t>
      </w:r>
      <w:r w:rsidR="00427EC8" w:rsidRPr="007C4E6C">
        <w:t>Lindberg</w:t>
      </w:r>
      <w:r w:rsidR="00427EC8">
        <w:t xml:space="preserve">, </w:t>
      </w:r>
      <w:r w:rsidR="00427EC8" w:rsidRPr="006572C0">
        <w:t>Maui Jim,</w:t>
      </w:r>
      <w:r w:rsidR="00427EC8">
        <w:t xml:space="preserve"> </w:t>
      </w:r>
      <w:proofErr w:type="spellStart"/>
      <w:r w:rsidR="00427EC8" w:rsidRPr="006572C0">
        <w:t>Zeal</w:t>
      </w:r>
      <w:proofErr w:type="spellEnd"/>
      <w:r w:rsidR="00427EC8" w:rsidRPr="006572C0">
        <w:t xml:space="preserve"> </w:t>
      </w:r>
      <w:proofErr w:type="spellStart"/>
      <w:r w:rsidR="00427EC8" w:rsidRPr="006572C0">
        <w:t>Optics</w:t>
      </w:r>
      <w:proofErr w:type="spellEnd"/>
      <w:r w:rsidR="00427EC8">
        <w:t xml:space="preserve">, </w:t>
      </w:r>
      <w:r w:rsidR="00427EC8" w:rsidRPr="006572C0">
        <w:t>Gucci,</w:t>
      </w:r>
      <w:r w:rsidR="00054144">
        <w:t xml:space="preserve"> </w:t>
      </w:r>
      <w:r w:rsidR="00427EC8" w:rsidRPr="006572C0">
        <w:t>Cartie</w:t>
      </w:r>
      <w:r w:rsidR="00054144">
        <w:t xml:space="preserve">r, </w:t>
      </w:r>
      <w:r w:rsidR="00427EC8" w:rsidRPr="006572C0">
        <w:t>Saint Laurent</w:t>
      </w:r>
      <w:r w:rsidR="00427EC8" w:rsidRPr="0054775C">
        <w:t>,</w:t>
      </w:r>
      <w:r w:rsidR="00054144">
        <w:t xml:space="preserve"> </w:t>
      </w:r>
      <w:r w:rsidR="00427EC8" w:rsidRPr="0054775C">
        <w:t xml:space="preserve">Bottega </w:t>
      </w:r>
      <w:proofErr w:type="spellStart"/>
      <w:r w:rsidR="00427EC8" w:rsidRPr="0054775C">
        <w:t>Veneta</w:t>
      </w:r>
      <w:proofErr w:type="spellEnd"/>
      <w:r w:rsidR="00427EC8" w:rsidRPr="0054775C">
        <w:t>,</w:t>
      </w:r>
      <w:r w:rsidR="00054144">
        <w:t xml:space="preserve"> </w:t>
      </w:r>
      <w:r w:rsidR="00427EC8" w:rsidRPr="0054775C">
        <w:t>Balenciaga,</w:t>
      </w:r>
      <w:r w:rsidR="00054144">
        <w:t xml:space="preserve"> </w:t>
      </w:r>
      <w:r w:rsidR="00427EC8" w:rsidRPr="0054775C">
        <w:t>Chloé</w:t>
      </w:r>
      <w:r w:rsidR="00427EC8">
        <w:t xml:space="preserve">, </w:t>
      </w:r>
      <w:r w:rsidR="00427EC8" w:rsidRPr="0054775C">
        <w:t xml:space="preserve">Alexander </w:t>
      </w:r>
      <w:proofErr w:type="spellStart"/>
      <w:r w:rsidR="00427EC8" w:rsidRPr="0054775C">
        <w:t>Mcqueen</w:t>
      </w:r>
      <w:proofErr w:type="spellEnd"/>
      <w:r w:rsidR="00427EC8">
        <w:t xml:space="preserve">, </w:t>
      </w:r>
      <w:r w:rsidR="00427EC8" w:rsidRPr="0054775C">
        <w:t>Montblanc</w:t>
      </w:r>
      <w:r w:rsidR="00427EC8">
        <w:t xml:space="preserve">, </w:t>
      </w:r>
      <w:r w:rsidR="00427EC8" w:rsidRPr="0054775C">
        <w:t>Dunhill</w:t>
      </w:r>
      <w:r w:rsidR="00427EC8">
        <w:t xml:space="preserve">, </w:t>
      </w:r>
      <w:proofErr w:type="spellStart"/>
      <w:r w:rsidR="00427EC8" w:rsidRPr="00427EC8">
        <w:t>Alaïa</w:t>
      </w:r>
      <w:proofErr w:type="spellEnd"/>
      <w:r w:rsidR="00427EC8">
        <w:t xml:space="preserve"> sowie </w:t>
      </w:r>
      <w:r w:rsidR="00427EC8" w:rsidRPr="00427EC8">
        <w:t>Puma</w:t>
      </w:r>
      <w:r w:rsidR="00427EC8">
        <w:t>)</w:t>
      </w:r>
      <w:r w:rsidR="00AA15A4">
        <w:t>,</w:t>
      </w:r>
      <w:r w:rsidR="00844420">
        <w:t xml:space="preserve"> </w:t>
      </w:r>
      <w:proofErr w:type="spellStart"/>
      <w:r w:rsidR="00B67A38">
        <w:t>Ginori</w:t>
      </w:r>
      <w:proofErr w:type="spellEnd"/>
      <w:r w:rsidR="00B67A38">
        <w:t xml:space="preserve"> </w:t>
      </w:r>
      <w:r w:rsidR="006044C4">
        <w:t>(</w:t>
      </w:r>
      <w:r w:rsidR="000961E0">
        <w:t xml:space="preserve">Produziert hauptsächlich </w:t>
      </w:r>
      <w:r w:rsidR="006044C4">
        <w:t xml:space="preserve">Geschirr) </w:t>
      </w:r>
      <w:r w:rsidR="00B67A38">
        <w:t xml:space="preserve">und </w:t>
      </w:r>
      <w:r w:rsidR="003231F9">
        <w:t>Kering Beauté</w:t>
      </w:r>
      <w:r w:rsidR="0071073F">
        <w:t xml:space="preserve"> (</w:t>
      </w:r>
      <w:r w:rsidR="00603DF7">
        <w:t xml:space="preserve">Parfüm und Beauty-Produkte von </w:t>
      </w:r>
      <w:r w:rsidR="009F372B">
        <w:rPr>
          <w:color w:val="000000"/>
        </w:rPr>
        <w:t xml:space="preserve">Bottega </w:t>
      </w:r>
      <w:proofErr w:type="spellStart"/>
      <w:r w:rsidR="009F372B">
        <w:rPr>
          <w:color w:val="000000"/>
        </w:rPr>
        <w:t>Veneta</w:t>
      </w:r>
      <w:proofErr w:type="spellEnd"/>
      <w:r w:rsidR="009F372B">
        <w:rPr>
          <w:color w:val="000000"/>
        </w:rPr>
        <w:t xml:space="preserve">, Balenciaga, Alexander McQueen, </w:t>
      </w:r>
      <w:proofErr w:type="spellStart"/>
      <w:r w:rsidR="009F372B">
        <w:rPr>
          <w:color w:val="000000"/>
        </w:rPr>
        <w:t>Pomellato</w:t>
      </w:r>
      <w:proofErr w:type="spellEnd"/>
      <w:r w:rsidR="009F372B">
        <w:rPr>
          <w:color w:val="000000"/>
        </w:rPr>
        <w:t xml:space="preserve"> und </w:t>
      </w:r>
      <w:proofErr w:type="spellStart"/>
      <w:r w:rsidR="009F372B">
        <w:rPr>
          <w:color w:val="000000"/>
        </w:rPr>
        <w:t>Qeelin</w:t>
      </w:r>
      <w:proofErr w:type="spellEnd"/>
      <w:r w:rsidR="009F372B">
        <w:rPr>
          <w:color w:val="000000"/>
        </w:rPr>
        <w:t> sowie der Parfümmarke Creed)</w:t>
      </w:r>
      <w:r w:rsidR="007C4E6C">
        <w:rPr>
          <w:color w:val="000000"/>
        </w:rPr>
        <w:t xml:space="preserve"> </w:t>
      </w:r>
      <w:r w:rsidR="000961E0">
        <w:rPr>
          <w:color w:val="000000"/>
        </w:rPr>
        <w:t>.</w:t>
      </w:r>
    </w:p>
    <w:p w14:paraId="15F24C6A" w14:textId="6121D90B" w:rsidR="00EF617B" w:rsidRPr="00427EC8" w:rsidRDefault="00EF617B" w:rsidP="0058395D"/>
    <w:p w14:paraId="72C8B24F" w14:textId="77777777" w:rsidR="0058395D" w:rsidRPr="00427EC8" w:rsidRDefault="0058395D" w:rsidP="0058395D"/>
    <w:p w14:paraId="047E005F" w14:textId="77777777" w:rsidR="004807B9" w:rsidRDefault="004807B9" w:rsidP="00F203BB">
      <w:pPr>
        <w:pStyle w:val="berschrift2"/>
      </w:pPr>
    </w:p>
    <w:p w14:paraId="58DEE70E" w14:textId="7E2C4C74" w:rsidR="00324921" w:rsidRPr="00FB5CCD" w:rsidRDefault="007456E6" w:rsidP="00F203BB">
      <w:pPr>
        <w:pStyle w:val="berschrift2"/>
      </w:pPr>
      <w:bookmarkStart w:id="3" w:name="_Toc156824931"/>
      <w:r w:rsidRPr="00FB5CCD">
        <w:t>Geschäftsmodel</w:t>
      </w:r>
      <w:bookmarkEnd w:id="3"/>
    </w:p>
    <w:p w14:paraId="6BCB31AC" w14:textId="09978AB1" w:rsidR="00DE6368" w:rsidRDefault="00A8151F" w:rsidP="005A27FC">
      <w:r>
        <w:t xml:space="preserve">Im Jahr 2022 setzte das Unternehmen rund 20,3 Milliarden Euro um und erzielte </w:t>
      </w:r>
      <w:r w:rsidR="00AB4F89">
        <w:t>dabei</w:t>
      </w:r>
      <w:r>
        <w:t xml:space="preserve"> einen operativen </w:t>
      </w:r>
      <w:r w:rsidR="00D060A0">
        <w:t xml:space="preserve">Gewinn </w:t>
      </w:r>
      <w:r w:rsidR="00AB4F89">
        <w:t xml:space="preserve">(EBIT) </w:t>
      </w:r>
      <w:r w:rsidR="00D060A0">
        <w:t>von 5,</w:t>
      </w:r>
      <w:r w:rsidR="00D35E10">
        <w:t xml:space="preserve">6 Milliarden Euro. </w:t>
      </w:r>
      <w:r w:rsidR="00CA6566">
        <w:t>Den Großteil des Umsatzes erzielt Kering mit selbst geführten Geschäften und den eigenen Online Stores</w:t>
      </w:r>
      <w:r w:rsidR="002F5CFD">
        <w:t xml:space="preserve"> (ca.</w:t>
      </w:r>
      <w:r w:rsidR="00DE6368">
        <w:t xml:space="preserve"> 78% des Umsatzes Stand 2022). De</w:t>
      </w:r>
      <w:r w:rsidR="00E051C5">
        <w:t>r Rest des Umsatzes stammt aus dem Großhandel sowie der Vergebung von Lizenzen (</w:t>
      </w:r>
      <w:r w:rsidR="00BC0A8F">
        <w:t>ca. 22% des Umsatzes stand 2022)</w:t>
      </w:r>
      <w:r w:rsidR="00864574">
        <w:t>. Insgesamt betreibt Kering 1.6</w:t>
      </w:r>
      <w:r w:rsidR="00685AB9">
        <w:t xml:space="preserve">59 Läden weltweit, </w:t>
      </w:r>
      <w:r w:rsidR="00EA0B30">
        <w:t>die wichtigste Regio</w:t>
      </w:r>
      <w:r w:rsidR="00E551D7">
        <w:t>n</w:t>
      </w:r>
      <w:r w:rsidR="00D9533B">
        <w:t xml:space="preserve"> ist dabei</w:t>
      </w:r>
      <w:r w:rsidR="00EA0B30">
        <w:t xml:space="preserve"> </w:t>
      </w:r>
      <w:r w:rsidR="00165BBC">
        <w:t>Asien und Nordpazifik</w:t>
      </w:r>
      <w:r w:rsidR="00E441EF">
        <w:t xml:space="preserve">. </w:t>
      </w:r>
    </w:p>
    <w:p w14:paraId="7EA322C1" w14:textId="509A62B2" w:rsidR="004807B9" w:rsidRDefault="004807B9">
      <w:pPr>
        <w:rPr>
          <w:b/>
        </w:rPr>
      </w:pPr>
      <w:r>
        <w:rPr>
          <w:b/>
          <w:noProof/>
        </w:rPr>
        <w:drawing>
          <wp:anchor distT="0" distB="0" distL="114300" distR="114300" simplePos="0" relativeHeight="251658245" behindDoc="0" locked="0" layoutInCell="1" allowOverlap="1" wp14:anchorId="71126E34" wp14:editId="10DC34DE">
            <wp:simplePos x="0" y="0"/>
            <wp:positionH relativeFrom="column">
              <wp:posOffset>-6660</wp:posOffset>
            </wp:positionH>
            <wp:positionV relativeFrom="paragraph">
              <wp:posOffset>25754</wp:posOffset>
            </wp:positionV>
            <wp:extent cx="5522962" cy="3689498"/>
            <wp:effectExtent l="0" t="0" r="1905" b="6350"/>
            <wp:wrapNone/>
            <wp:docPr id="1910125454"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25454" name="Grafik 3" descr="Ein Bild, das Text, Kart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527605" cy="3692600"/>
                    </a:xfrm>
                    <a:prstGeom prst="rect">
                      <a:avLst/>
                    </a:prstGeom>
                  </pic:spPr>
                </pic:pic>
              </a:graphicData>
            </a:graphic>
            <wp14:sizeRelH relativeFrom="page">
              <wp14:pctWidth>0</wp14:pctWidth>
            </wp14:sizeRelH>
            <wp14:sizeRelV relativeFrom="page">
              <wp14:pctHeight>0</wp14:pctHeight>
            </wp14:sizeRelV>
          </wp:anchor>
        </w:drawing>
      </w:r>
    </w:p>
    <w:p w14:paraId="6D1B73B9" w14:textId="77777777" w:rsidR="004807B9" w:rsidRDefault="004807B9">
      <w:pPr>
        <w:rPr>
          <w:b/>
        </w:rPr>
      </w:pPr>
    </w:p>
    <w:p w14:paraId="3F5C3345" w14:textId="77777777" w:rsidR="004807B9" w:rsidRDefault="004807B9">
      <w:pPr>
        <w:rPr>
          <w:b/>
        </w:rPr>
      </w:pPr>
    </w:p>
    <w:p w14:paraId="405FC11E" w14:textId="77777777" w:rsidR="004807B9" w:rsidRDefault="004807B9">
      <w:pPr>
        <w:rPr>
          <w:b/>
        </w:rPr>
      </w:pPr>
    </w:p>
    <w:p w14:paraId="4195E9C9" w14:textId="77777777" w:rsidR="004807B9" w:rsidRDefault="004807B9">
      <w:pPr>
        <w:rPr>
          <w:b/>
        </w:rPr>
      </w:pPr>
    </w:p>
    <w:p w14:paraId="5DF0EB7B" w14:textId="3E139915" w:rsidR="004807B9" w:rsidRDefault="004807B9">
      <w:pPr>
        <w:rPr>
          <w:b/>
        </w:rPr>
      </w:pPr>
    </w:p>
    <w:p w14:paraId="0F4B6C0D" w14:textId="77777777" w:rsidR="004807B9" w:rsidRDefault="004807B9">
      <w:pPr>
        <w:rPr>
          <w:b/>
        </w:rPr>
      </w:pPr>
    </w:p>
    <w:p w14:paraId="645CE966" w14:textId="15A3288D" w:rsidR="004807B9" w:rsidRDefault="004807B9">
      <w:pPr>
        <w:rPr>
          <w:b/>
        </w:rPr>
      </w:pPr>
    </w:p>
    <w:p w14:paraId="61CC7B6D" w14:textId="77777777" w:rsidR="004807B9" w:rsidRDefault="004807B9">
      <w:pPr>
        <w:rPr>
          <w:b/>
        </w:rPr>
      </w:pPr>
    </w:p>
    <w:p w14:paraId="460A0E59" w14:textId="77777777" w:rsidR="004807B9" w:rsidRDefault="004807B9">
      <w:pPr>
        <w:rPr>
          <w:b/>
        </w:rPr>
      </w:pPr>
    </w:p>
    <w:p w14:paraId="32316D97" w14:textId="77777777" w:rsidR="00FC6ECF" w:rsidRDefault="00FC6ECF">
      <w:pPr>
        <w:rPr>
          <w:b/>
        </w:rPr>
      </w:pPr>
    </w:p>
    <w:p w14:paraId="735D519E" w14:textId="77777777" w:rsidR="00FC6ECF" w:rsidRDefault="00FC6ECF">
      <w:pPr>
        <w:rPr>
          <w:b/>
        </w:rPr>
      </w:pPr>
    </w:p>
    <w:p w14:paraId="5252EAF7" w14:textId="77777777" w:rsidR="00FC6ECF" w:rsidRDefault="00FC6ECF">
      <w:pPr>
        <w:rPr>
          <w:b/>
        </w:rPr>
      </w:pPr>
    </w:p>
    <w:p w14:paraId="16FF3CE1" w14:textId="77777777" w:rsidR="001226A0" w:rsidRDefault="001226A0">
      <w:pPr>
        <w:rPr>
          <w:b/>
        </w:rPr>
      </w:pPr>
    </w:p>
    <w:p w14:paraId="238867FF" w14:textId="77777777" w:rsidR="001226A0" w:rsidRDefault="001226A0">
      <w:pPr>
        <w:rPr>
          <w:b/>
        </w:rPr>
      </w:pPr>
    </w:p>
    <w:p w14:paraId="7F953E03" w14:textId="77777777" w:rsidR="001226A0" w:rsidRDefault="001226A0">
      <w:pPr>
        <w:rPr>
          <w:b/>
        </w:rPr>
      </w:pPr>
    </w:p>
    <w:p w14:paraId="5148E876" w14:textId="77777777" w:rsidR="00FC6ECF" w:rsidRDefault="00FC6ECF">
      <w:pPr>
        <w:rPr>
          <w:b/>
        </w:rPr>
      </w:pPr>
    </w:p>
    <w:p w14:paraId="3E343C0D" w14:textId="77777777" w:rsidR="00FC6ECF" w:rsidRDefault="00FC6ECF">
      <w:pPr>
        <w:rPr>
          <w:b/>
        </w:rPr>
      </w:pPr>
    </w:p>
    <w:p w14:paraId="6877AC70" w14:textId="63BF66F6" w:rsidR="00202653" w:rsidRPr="008309FD" w:rsidRDefault="00FC6ECF" w:rsidP="008309FD">
      <w:pPr>
        <w:pStyle w:val="berschrift3"/>
      </w:pPr>
      <w:bookmarkStart w:id="4" w:name="_Toc156824932"/>
      <w:r w:rsidRPr="008309FD">
        <w:rPr>
          <w:rStyle w:val="berschrift2Zchn"/>
          <w:rFonts w:asciiTheme="minorHAnsi" w:eastAsiaTheme="minorHAnsi" w:hAnsiTheme="minorHAnsi" w:cstheme="minorBidi"/>
          <w:sz w:val="22"/>
          <w:szCs w:val="22"/>
        </w:rPr>
        <w:drawing>
          <wp:anchor distT="0" distB="0" distL="114300" distR="114300" simplePos="0" relativeHeight="251658247" behindDoc="1" locked="0" layoutInCell="1" allowOverlap="1" wp14:anchorId="5B1B1125" wp14:editId="64C8BF0A">
            <wp:simplePos x="0" y="0"/>
            <wp:positionH relativeFrom="margin">
              <wp:posOffset>4473477</wp:posOffset>
            </wp:positionH>
            <wp:positionV relativeFrom="paragraph">
              <wp:posOffset>-512836</wp:posOffset>
            </wp:positionV>
            <wp:extent cx="1215032" cy="773723"/>
            <wp:effectExtent l="0" t="0" r="4445" b="7620"/>
            <wp:wrapNone/>
            <wp:docPr id="1834817877" name="Grafik 5" descr="Ein Bild, das Schrift, Grafiken, Logo,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17877" name="Grafik 5" descr="Ein Bild, das Schrift, Grafiken, Logo, weiß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032" cy="773723"/>
                    </a:xfrm>
                    <a:prstGeom prst="rect">
                      <a:avLst/>
                    </a:prstGeom>
                  </pic:spPr>
                </pic:pic>
              </a:graphicData>
            </a:graphic>
            <wp14:sizeRelH relativeFrom="page">
              <wp14:pctWidth>0</wp14:pctWidth>
            </wp14:sizeRelH>
            <wp14:sizeRelV relativeFrom="page">
              <wp14:pctHeight>0</wp14:pctHeight>
            </wp14:sizeRelV>
          </wp:anchor>
        </w:drawing>
      </w:r>
      <w:r w:rsidR="00994386" w:rsidRPr="008309FD">
        <w:rPr>
          <w:rStyle w:val="berschrift2Zchn"/>
          <w:rFonts w:asciiTheme="minorHAnsi" w:eastAsiaTheme="minorHAnsi" w:hAnsiTheme="minorHAnsi" w:cstheme="minorBidi"/>
          <w:sz w:val="22"/>
          <w:szCs w:val="22"/>
        </w:rPr>
        <w:t>Gucci</w:t>
      </w:r>
      <w:r w:rsidR="00994386" w:rsidRPr="008309FD">
        <w:t>:</w:t>
      </w:r>
      <w:bookmarkEnd w:id="4"/>
    </w:p>
    <w:p w14:paraId="6AD429AA" w14:textId="0C4FB680" w:rsidR="00D81F90" w:rsidRDefault="007A3466" w:rsidP="00BD6080">
      <w:pPr>
        <w:spacing w:after="0"/>
      </w:pPr>
      <w:r>
        <w:t>Gucci ist ein italienisches Modehaus</w:t>
      </w:r>
      <w:r w:rsidR="009A7B2B">
        <w:t xml:space="preserve">, welches </w:t>
      </w:r>
      <w:r w:rsidR="008A3466">
        <w:t xml:space="preserve">1923 von </w:t>
      </w:r>
      <w:proofErr w:type="spellStart"/>
      <w:r w:rsidR="008A3466">
        <w:t>Gucci</w:t>
      </w:r>
      <w:r w:rsidR="00826F59">
        <w:t>o</w:t>
      </w:r>
      <w:proofErr w:type="spellEnd"/>
      <w:r w:rsidR="00826F59">
        <w:t xml:space="preserve"> Gucci als kleine Leder</w:t>
      </w:r>
      <w:r w:rsidR="00F5785C">
        <w:t xml:space="preserve">werkstatt in Florenz gegründet wurde. </w:t>
      </w:r>
      <w:r w:rsidR="009007A0">
        <w:t>Drei seiner insgesamt fünf Kinder</w:t>
      </w:r>
      <w:r w:rsidR="00E44690">
        <w:t xml:space="preserve"> Aldo, Vasco und Rodolfo</w:t>
      </w:r>
      <w:r w:rsidR="009007A0">
        <w:t xml:space="preserve"> übernahmen das Unternehmen </w:t>
      </w:r>
      <w:r w:rsidR="00E44690">
        <w:t xml:space="preserve">nach </w:t>
      </w:r>
      <w:proofErr w:type="spellStart"/>
      <w:r w:rsidR="00E44690">
        <w:t>Guccio</w:t>
      </w:r>
      <w:proofErr w:type="spellEnd"/>
      <w:r w:rsidR="00E44690">
        <w:t xml:space="preserve">. </w:t>
      </w:r>
      <w:r w:rsidR="002E473D">
        <w:t>Aldo</w:t>
      </w:r>
      <w:r w:rsidR="00FC6EEF">
        <w:t>,</w:t>
      </w:r>
      <w:r w:rsidR="002E473D">
        <w:t xml:space="preserve"> der schon zu Lebzeiten </w:t>
      </w:r>
      <w:proofErr w:type="spellStart"/>
      <w:r w:rsidR="002E473D">
        <w:t>Guccios</w:t>
      </w:r>
      <w:proofErr w:type="spellEnd"/>
      <w:r w:rsidR="002E473D">
        <w:t xml:space="preserve"> die Expansion </w:t>
      </w:r>
      <w:r w:rsidR="00DF5591">
        <w:t>Guccis stark vorantrieb</w:t>
      </w:r>
      <w:r w:rsidR="00B861BC">
        <w:t xml:space="preserve">, gründete </w:t>
      </w:r>
      <w:r w:rsidR="00855EF2">
        <w:t xml:space="preserve">Gucci </w:t>
      </w:r>
      <w:proofErr w:type="spellStart"/>
      <w:r w:rsidR="00855EF2">
        <w:t>America</w:t>
      </w:r>
      <w:proofErr w:type="spellEnd"/>
      <w:r w:rsidR="00855EF2">
        <w:t xml:space="preserve"> und leitete dort Guccis operativen </w:t>
      </w:r>
      <w:r w:rsidR="007D5CE7">
        <w:t xml:space="preserve">Geschäfte. </w:t>
      </w:r>
      <w:r w:rsidR="009B354D">
        <w:t>Vasco und Rodolfo blieben in Italien.</w:t>
      </w:r>
      <w:r w:rsidR="00D20D04">
        <w:t xml:space="preserve"> </w:t>
      </w:r>
      <w:r w:rsidR="00E4476C">
        <w:t>In den 19</w:t>
      </w:r>
      <w:r w:rsidR="004D24C0">
        <w:t>80ern war Gucci stark fragmentiert, d</w:t>
      </w:r>
      <w:r w:rsidR="00E7718C">
        <w:t xml:space="preserve">a die </w:t>
      </w:r>
      <w:r w:rsidR="00556F98">
        <w:t xml:space="preserve">einzelnen </w:t>
      </w:r>
      <w:r w:rsidR="00373159">
        <w:t xml:space="preserve">Tochterunternehmen </w:t>
      </w:r>
      <w:proofErr w:type="spellStart"/>
      <w:r w:rsidR="00373159">
        <w:t>Guccio</w:t>
      </w:r>
      <w:proofErr w:type="spellEnd"/>
      <w:r w:rsidR="00373159">
        <w:t xml:space="preserve"> Gucci, Guc</w:t>
      </w:r>
      <w:r w:rsidR="004C3A65">
        <w:t xml:space="preserve">ci </w:t>
      </w:r>
      <w:proofErr w:type="spellStart"/>
      <w:r w:rsidR="004C3A65">
        <w:t>America</w:t>
      </w:r>
      <w:proofErr w:type="spellEnd"/>
      <w:r w:rsidR="004C3A65">
        <w:t xml:space="preserve">, Gucci Shopping </w:t>
      </w:r>
      <w:proofErr w:type="spellStart"/>
      <w:r w:rsidR="004C3A65">
        <w:t>Inc</w:t>
      </w:r>
      <w:proofErr w:type="spellEnd"/>
      <w:r w:rsidR="004C3A65">
        <w:t xml:space="preserve"> etc. getrennt voneinander liefen</w:t>
      </w:r>
      <w:r w:rsidR="00F86A2C">
        <w:t>. Auch hat</w:t>
      </w:r>
      <w:r w:rsidR="00437106">
        <w:t xml:space="preserve">te Gucci seine </w:t>
      </w:r>
      <w:r w:rsidR="00CA7991">
        <w:t xml:space="preserve">frühere </w:t>
      </w:r>
      <w:r w:rsidR="00437106">
        <w:t xml:space="preserve">Strahlkraft </w:t>
      </w:r>
      <w:r w:rsidR="00602E2B">
        <w:t>als Marke verloren</w:t>
      </w:r>
      <w:r w:rsidR="00D6631D">
        <w:t xml:space="preserve">, </w:t>
      </w:r>
      <w:r w:rsidR="004C46AE">
        <w:t xml:space="preserve">unteranderem weil </w:t>
      </w:r>
      <w:r w:rsidR="002F1A85">
        <w:t xml:space="preserve">Gucci zahlreiche Lizenzen für „Billigprodukte“ vergab. </w:t>
      </w:r>
      <w:r w:rsidR="0007524A">
        <w:t xml:space="preserve">Rodolfos Erbe Maurizio </w:t>
      </w:r>
      <w:r w:rsidR="006038ED">
        <w:t xml:space="preserve">hatte die Vision </w:t>
      </w:r>
      <w:r w:rsidR="0055339C">
        <w:t xml:space="preserve">das Unternehmen zu einen und Guccis alten Glanz wiederentfachen zu lassen. </w:t>
      </w:r>
      <w:r w:rsidR="006F64B2">
        <w:t>Nach eine</w:t>
      </w:r>
      <w:r w:rsidR="001407E1">
        <w:t xml:space="preserve">m Kampf </w:t>
      </w:r>
      <w:r w:rsidR="0011009E">
        <w:t xml:space="preserve">um die Kontrolle </w:t>
      </w:r>
      <w:r w:rsidR="002267F8">
        <w:t xml:space="preserve">über Gucci, gelang es Maurizio mithilfe der Private-Equity Gesellschaft </w:t>
      </w:r>
      <w:proofErr w:type="spellStart"/>
      <w:r w:rsidR="00ED1E84">
        <w:t>Investcorp</w:t>
      </w:r>
      <w:proofErr w:type="spellEnd"/>
      <w:r w:rsidR="002267F8">
        <w:t xml:space="preserve"> </w:t>
      </w:r>
      <w:r w:rsidR="00686471">
        <w:t>den Rest seiner Familie aus dem Unternehmen zu drängen</w:t>
      </w:r>
      <w:r w:rsidR="003122A5">
        <w:t xml:space="preserve"> und er wurde Guccis neuer Geschäftsführer. </w:t>
      </w:r>
      <w:r w:rsidR="008A1993">
        <w:t xml:space="preserve">Aufgrund schlechter operativer Entscheidungen </w:t>
      </w:r>
      <w:r w:rsidR="00C73148">
        <w:t xml:space="preserve">geriet Gucci jedoch </w:t>
      </w:r>
      <w:r w:rsidR="0023107C">
        <w:t>in den 90ern in eine finanzielle Schieflage</w:t>
      </w:r>
      <w:r w:rsidR="00682391">
        <w:t xml:space="preserve">. </w:t>
      </w:r>
      <w:r w:rsidR="00BB78AF">
        <w:t xml:space="preserve">Umsätze schrumpften und Gucci schrieb hohe Verluste. Nach immer größer werdenden </w:t>
      </w:r>
      <w:r w:rsidR="00D528EB">
        <w:t xml:space="preserve">Druck musste Maurizio als Guccis Geschäftsführer zurücktreten und verkaufte 1993 seine restlichen Unternehmensanteile an </w:t>
      </w:r>
      <w:proofErr w:type="spellStart"/>
      <w:r w:rsidR="00D528EB">
        <w:t>Investcorp</w:t>
      </w:r>
      <w:proofErr w:type="spellEnd"/>
      <w:r w:rsidR="00D528EB">
        <w:t xml:space="preserve">. </w:t>
      </w:r>
      <w:r w:rsidR="00BB2B35">
        <w:t xml:space="preserve">2 Jahre später wurde Maurizio Opfer eines Mordanschlags, für den seine Ex-Frau Patrizia </w:t>
      </w:r>
      <w:proofErr w:type="spellStart"/>
      <w:r w:rsidR="002D030A">
        <w:t>Reggiani</w:t>
      </w:r>
      <w:proofErr w:type="spellEnd"/>
      <w:r w:rsidR="002D030A">
        <w:t xml:space="preserve"> verantwortlich war. </w:t>
      </w:r>
      <w:r w:rsidR="00E14247">
        <w:t xml:space="preserve">1995 </w:t>
      </w:r>
      <w:r w:rsidR="00EC2E6C">
        <w:t xml:space="preserve">ging Gucci, welches nun losgelöst von der Familie Gucci war, an die </w:t>
      </w:r>
      <w:r w:rsidR="00A620C8">
        <w:t xml:space="preserve">New </w:t>
      </w:r>
      <w:proofErr w:type="spellStart"/>
      <w:r w:rsidR="00A620C8">
        <w:t>Yoker</w:t>
      </w:r>
      <w:proofErr w:type="spellEnd"/>
      <w:r w:rsidR="00A620C8">
        <w:t xml:space="preserve">, Amsterdamer und Londoner Börse und auch der Firmensitz wurde </w:t>
      </w:r>
      <w:r w:rsidR="00F30558">
        <w:t xml:space="preserve">nach London verlegt. </w:t>
      </w:r>
      <w:r w:rsidR="00330841">
        <w:t xml:space="preserve">Seit 2004 gehört Gucci fast vollständig (99,4%) zu </w:t>
      </w:r>
      <w:r w:rsidR="003F0882">
        <w:t>Kering.</w:t>
      </w:r>
      <w:r w:rsidR="00BD6CD6">
        <w:t xml:space="preserve"> Seinen Status und Bedeutung als Modemarke </w:t>
      </w:r>
      <w:r w:rsidR="001B5235">
        <w:t xml:space="preserve">konnte </w:t>
      </w:r>
      <w:r w:rsidR="00BD6CD6">
        <w:t xml:space="preserve">Gucci erst </w:t>
      </w:r>
      <w:r w:rsidR="000655D3">
        <w:t>Mitte der 90er wieder</w:t>
      </w:r>
      <w:r w:rsidR="001B5235">
        <w:t xml:space="preserve"> gewinnen. Unter Creative </w:t>
      </w:r>
      <w:proofErr w:type="spellStart"/>
      <w:r w:rsidR="001B5235">
        <w:t>Director</w:t>
      </w:r>
      <w:proofErr w:type="spellEnd"/>
      <w:r w:rsidR="001B5235">
        <w:t xml:space="preserve"> Tom Ford</w:t>
      </w:r>
      <w:r w:rsidR="0036093C">
        <w:t xml:space="preserve"> </w:t>
      </w:r>
      <w:r w:rsidR="00CF7564">
        <w:t xml:space="preserve">verwendete Gucci in der Damenmode gewagte Schnitte und </w:t>
      </w:r>
      <w:r w:rsidR="00237832">
        <w:t>grif</w:t>
      </w:r>
      <w:r w:rsidR="0056293C">
        <w:t xml:space="preserve">f den </w:t>
      </w:r>
      <w:r w:rsidR="00594F87">
        <w:t>Dandy-Stil</w:t>
      </w:r>
      <w:r w:rsidR="00F202A7">
        <w:t xml:space="preserve"> („übertriebener Gentleman-Look)</w:t>
      </w:r>
      <w:r w:rsidR="00594F87">
        <w:t xml:space="preserve"> in der Herrenmode</w:t>
      </w:r>
      <w:r w:rsidR="0056293C">
        <w:t xml:space="preserve"> auf. </w:t>
      </w:r>
      <w:r w:rsidR="0031613F">
        <w:t>Ford verließ das Unternehmen 2004. Sein</w:t>
      </w:r>
      <w:r w:rsidR="00191444">
        <w:t>e</w:t>
      </w:r>
      <w:r w:rsidR="0031613F">
        <w:t xml:space="preserve"> Nachfolger wurde</w:t>
      </w:r>
      <w:r w:rsidR="00191444">
        <w:t xml:space="preserve">n seine langjährigen Mitarbeiter </w:t>
      </w:r>
      <w:r w:rsidR="00191444" w:rsidRPr="00191444">
        <w:t>Alessandra Facchinetti (Damenmode), </w:t>
      </w:r>
      <w:hyperlink r:id="rId17" w:tooltip="Frida Giannini" w:history="1">
        <w:r w:rsidR="00191444" w:rsidRPr="00191444">
          <w:t>Frida Giannini</w:t>
        </w:r>
      </w:hyperlink>
      <w:r w:rsidR="00191444" w:rsidRPr="00191444">
        <w:t> (Accessoires) und John Ray</w:t>
      </w:r>
      <w:r w:rsidR="00191444">
        <w:t xml:space="preserve"> (Herrenmode)</w:t>
      </w:r>
      <w:r w:rsidR="00F31A87">
        <w:t xml:space="preserve">. Ihnen folgte </w:t>
      </w:r>
      <w:r w:rsidR="006F1553">
        <w:t xml:space="preserve">2015 Alessandro Michele, </w:t>
      </w:r>
      <w:r w:rsidR="00F22131">
        <w:t xml:space="preserve">unter </w:t>
      </w:r>
      <w:r w:rsidR="006F1553">
        <w:t>welche</w:t>
      </w:r>
      <w:r w:rsidR="00F22131">
        <w:t>m</w:t>
      </w:r>
      <w:r w:rsidR="006F1553">
        <w:t xml:space="preserve"> ein radikale</w:t>
      </w:r>
      <w:r w:rsidR="00F22131">
        <w:t>r</w:t>
      </w:r>
      <w:r w:rsidR="006F1553">
        <w:t xml:space="preserve"> Imagewechsel der Marke </w:t>
      </w:r>
      <w:r w:rsidR="00F22131">
        <w:t>stattfand</w:t>
      </w:r>
      <w:r w:rsidR="006F1553">
        <w:t>.</w:t>
      </w:r>
      <w:r w:rsidR="009A52B4">
        <w:t xml:space="preserve"> </w:t>
      </w:r>
      <w:r w:rsidR="007D031D">
        <w:t>An die 70er erinnernde Schnitte, ex</w:t>
      </w:r>
      <w:r w:rsidR="00D57D05">
        <w:t xml:space="preserve">zentrische Muster und bunte Farben, </w:t>
      </w:r>
      <w:r w:rsidR="00A361A0">
        <w:t xml:space="preserve">zahlreiche Tier- und Pflanzenapplikationen, </w:t>
      </w:r>
      <w:r w:rsidR="00F97269">
        <w:t>ausgef</w:t>
      </w:r>
      <w:r w:rsidR="009D49AB">
        <w:t xml:space="preserve">allene Accessoires sowie wilde Stilvermischungen sorgten </w:t>
      </w:r>
      <w:r w:rsidR="00B41B52">
        <w:t>dafür das einer regelrechter Gucci-Hype entstand</w:t>
      </w:r>
      <w:r w:rsidR="00B70D04">
        <w:t xml:space="preserve"> und Gucci wurde zu begehrtesten Modemarke der Welt (Vogue </w:t>
      </w:r>
      <w:r w:rsidR="000176A3">
        <w:t xml:space="preserve">Index). </w:t>
      </w:r>
      <w:r w:rsidR="001269A0">
        <w:t xml:space="preserve">In den letzten Jahren ist der Gucci Hype jedoch geschwunden und das Wachstum stagniert bzw. ist rücklaufend. </w:t>
      </w:r>
      <w:r w:rsidR="00FC7EFD">
        <w:t xml:space="preserve">Ende 2022 verkündete </w:t>
      </w:r>
      <w:r w:rsidR="005C4BB1">
        <w:t xml:space="preserve">Michele, dass er </w:t>
      </w:r>
      <w:r w:rsidR="009977D5">
        <w:t xml:space="preserve">das Unternehmen verlassen werde. Sein Nachfolger wurde Sabato de </w:t>
      </w:r>
      <w:r w:rsidR="00F6535D">
        <w:t xml:space="preserve">Sarno. Er soll bei Gucci eine neue Ära einleiten </w:t>
      </w:r>
      <w:r w:rsidR="00F6535D" w:rsidRPr="00A416E3">
        <w:t xml:space="preserve">(siehe </w:t>
      </w:r>
      <w:r w:rsidR="008309FD" w:rsidRPr="00A416E3">
        <w:t>Ausrichtung</w:t>
      </w:r>
      <w:r w:rsidR="00A416E3" w:rsidRPr="00A416E3">
        <w:t>/Strategie</w:t>
      </w:r>
      <w:r w:rsidR="00F6535D" w:rsidRPr="00A416E3">
        <w:t>)</w:t>
      </w:r>
      <w:r w:rsidR="00CD2ED7" w:rsidRPr="00A416E3">
        <w:t>.</w:t>
      </w:r>
      <w:r w:rsidR="00CD2ED7">
        <w:t xml:space="preserve"> </w:t>
      </w:r>
      <w:r w:rsidR="0048467F">
        <w:t xml:space="preserve">Kurz nach Alessandro Michele verließ ebenfalls </w:t>
      </w:r>
      <w:r w:rsidR="00D81F90">
        <w:t>Guccis C</w:t>
      </w:r>
      <w:r w:rsidR="00A10B0F">
        <w:t xml:space="preserve">EO Marco </w:t>
      </w:r>
      <w:proofErr w:type="spellStart"/>
      <w:r w:rsidR="00A10B0F">
        <w:t>Bizzarri</w:t>
      </w:r>
      <w:proofErr w:type="spellEnd"/>
      <w:r w:rsidR="00502971">
        <w:t xml:space="preserve"> das Unternehmen. </w:t>
      </w:r>
      <w:r w:rsidR="00DB6704">
        <w:t>Bis ein Nachfolger gefunden wir</w:t>
      </w:r>
      <w:r w:rsidR="00492B59">
        <w:t xml:space="preserve">d, </w:t>
      </w:r>
      <w:r w:rsidR="00E33927">
        <w:t>übernimmt</w:t>
      </w:r>
      <w:r w:rsidR="00E33927">
        <w:rPr>
          <w:rFonts w:ascii="Georgia" w:hAnsi="Georgia"/>
          <w:color w:val="363636"/>
          <w:sz w:val="30"/>
          <w:szCs w:val="30"/>
          <w:shd w:val="clear" w:color="auto" w:fill="FFFFFF"/>
        </w:rPr>
        <w:t> </w:t>
      </w:r>
      <w:r w:rsidR="00E33927" w:rsidRPr="00E33927">
        <w:t xml:space="preserve">Jean-François </w:t>
      </w:r>
      <w:proofErr w:type="spellStart"/>
      <w:r w:rsidR="00E33927" w:rsidRPr="00E33927">
        <w:t>Palus</w:t>
      </w:r>
      <w:proofErr w:type="spellEnd"/>
      <w:r w:rsidR="00E33927" w:rsidRPr="00E33927">
        <w:t>,</w:t>
      </w:r>
      <w:r w:rsidR="00E33927">
        <w:t xml:space="preserve"> welcher zuvor Managing </w:t>
      </w:r>
      <w:proofErr w:type="spellStart"/>
      <w:r w:rsidR="00E33927">
        <w:t>Director</w:t>
      </w:r>
      <w:proofErr w:type="spellEnd"/>
      <w:r w:rsidR="00E33927">
        <w:t xml:space="preserve"> der Kering Gruppe war.</w:t>
      </w:r>
    </w:p>
    <w:p w14:paraId="6A25BF5C" w14:textId="65AE4D30" w:rsidR="00624ABA" w:rsidRDefault="00B34F09" w:rsidP="00BD6080">
      <w:pPr>
        <w:spacing w:after="0"/>
      </w:pPr>
      <w:r>
        <w:t xml:space="preserve">Gucci bietet </w:t>
      </w:r>
      <w:r w:rsidR="00C53F74">
        <w:t>lediglich eine Hauptlinie, jeweils eine für Damen- und eine für Herrenmode</w:t>
      </w:r>
      <w:r w:rsidR="00624ABA">
        <w:t>, sowie eine große Anzahl zugehöriger Access</w:t>
      </w:r>
      <w:r w:rsidR="00C36E4A">
        <w:t>oires</w:t>
      </w:r>
      <w:r w:rsidR="00CA34D1">
        <w:t xml:space="preserve"> im Luxuspreissegment. Darüber hinaus werden Brillen,</w:t>
      </w:r>
      <w:r w:rsidR="00613DC2">
        <w:t xml:space="preserve"> Düfte, Schmuck und Uhren verkauft</w:t>
      </w:r>
      <w:r w:rsidR="003607CA">
        <w:t xml:space="preserve"> (seit 1997 -&gt; vorher über Lizenzen)</w:t>
      </w:r>
      <w:r w:rsidR="00613DC2">
        <w:t>.</w:t>
      </w:r>
      <w:r w:rsidR="003607CA">
        <w:t xml:space="preserve"> Seit 2008 gibt es außerdem auch eine Kinderlinie (0-8 Jahre) </w:t>
      </w:r>
    </w:p>
    <w:p w14:paraId="47382763" w14:textId="6F597F0D" w:rsidR="007A3466" w:rsidRDefault="00F6535D">
      <w:r>
        <w:t xml:space="preserve"> </w:t>
      </w:r>
    </w:p>
    <w:p w14:paraId="316853F8" w14:textId="5DC0C1FB" w:rsidR="005310E0" w:rsidRDefault="002C33A5">
      <w:r>
        <w:t xml:space="preserve">Im Fiskaljahr 2022 erwirtschaftete Gucci einen Umsatz von </w:t>
      </w:r>
      <w:r w:rsidR="00DF1040">
        <w:t>10,487 Milliarden Euro</w:t>
      </w:r>
      <w:r w:rsidR="00252D5F">
        <w:t xml:space="preserve">. Somit war Gucci für ca. </w:t>
      </w:r>
      <w:r w:rsidR="00110D60">
        <w:t>52% des Gesamtumsa</w:t>
      </w:r>
      <w:r w:rsidR="00852C58">
        <w:t xml:space="preserve">tzes des Kering-Konzerns verantwortlich. </w:t>
      </w:r>
      <w:r w:rsidR="0099215D">
        <w:t>Der Umsatz</w:t>
      </w:r>
      <w:r w:rsidR="00C11C0C">
        <w:t>-</w:t>
      </w:r>
      <w:r w:rsidR="0099215D">
        <w:t>Anteil, der aus dem Großhandel stammt</w:t>
      </w:r>
      <w:r>
        <w:t>,</w:t>
      </w:r>
      <w:r w:rsidR="0099215D">
        <w:t xml:space="preserve"> wurde die letzte Jahre kontinuierlich reduziert, sodass </w:t>
      </w:r>
      <w:r w:rsidR="00464631">
        <w:t xml:space="preserve">Gucci 91% des Umsatzes aus eigenen Läden und E-Commerce Shops </w:t>
      </w:r>
      <w:r w:rsidR="003A6793">
        <w:t>erwirtschaftet wurde (Stand 2022). Ziel ist</w:t>
      </w:r>
      <w:r w:rsidR="001E04E2">
        <w:t>,</w:t>
      </w:r>
      <w:r w:rsidR="003A6793">
        <w:t xml:space="preserve"> das</w:t>
      </w:r>
      <w:r w:rsidR="001E04E2">
        <w:t>s</w:t>
      </w:r>
      <w:r w:rsidR="003A6793">
        <w:t xml:space="preserve"> Gucci eine möglichst hohe Kontrolle über die Distribution der eigenen Produkte </w:t>
      </w:r>
      <w:r w:rsidR="001E04E2">
        <w:t>erlangt.</w:t>
      </w:r>
      <w:r w:rsidR="00F2786A">
        <w:t xml:space="preserve"> </w:t>
      </w:r>
      <w:r w:rsidR="001A235A">
        <w:t xml:space="preserve">Insgesamt </w:t>
      </w:r>
      <w:r w:rsidR="001A235A">
        <w:lastRenderedPageBreak/>
        <w:t xml:space="preserve">betreibt Gucci </w:t>
      </w:r>
      <w:r w:rsidR="007C6142">
        <w:t xml:space="preserve">weltweit </w:t>
      </w:r>
      <w:r w:rsidR="00D9533B">
        <w:t>528 Läden.</w:t>
      </w:r>
      <w:r w:rsidR="006B5082">
        <w:t xml:space="preserve"> 2022 wurden</w:t>
      </w:r>
      <w:r w:rsidR="007C6142">
        <w:t xml:space="preserve"> </w:t>
      </w:r>
      <w:r w:rsidR="004969BB">
        <w:t xml:space="preserve">27 neue Läden eröffnet. </w:t>
      </w:r>
      <w:r w:rsidR="002D649B">
        <w:t>Grundsätzlich</w:t>
      </w:r>
      <w:r w:rsidR="004969BB">
        <w:t xml:space="preserve"> fokussiert sich Gucci auf organisches Wachstum der schon bestehenden Läden</w:t>
      </w:r>
      <w:r w:rsidR="002D649B">
        <w:t xml:space="preserve">, allerdings schaut sich Gucci weiterhin um, </w:t>
      </w:r>
      <w:r w:rsidR="0031041D">
        <w:t xml:space="preserve">neu </w:t>
      </w:r>
      <w:r w:rsidR="002D649B">
        <w:t xml:space="preserve">Läden in </w:t>
      </w:r>
      <w:r w:rsidR="0031041D">
        <w:t xml:space="preserve">noch </w:t>
      </w:r>
      <w:r w:rsidR="00E659AB">
        <w:t>unterrepräsentierten</w:t>
      </w:r>
      <w:r w:rsidR="004F451B">
        <w:t xml:space="preserve"> Regionen</w:t>
      </w:r>
      <w:r w:rsidR="0031041D">
        <w:t xml:space="preserve"> zu eröffnen</w:t>
      </w:r>
      <w:r w:rsidR="004F451B">
        <w:t>.</w:t>
      </w:r>
      <w:r w:rsidR="004969BB">
        <w:t xml:space="preserve"> </w:t>
      </w:r>
      <w:r w:rsidR="00F2786A">
        <w:t>Das Umsatzwachstum der E-Commerce Shops stagnierte 2022</w:t>
      </w:r>
      <w:r w:rsidR="0046035D">
        <w:t>,</w:t>
      </w:r>
      <w:r w:rsidR="00D740FF">
        <w:t xml:space="preserve"> </w:t>
      </w:r>
      <w:r w:rsidR="00AF437D">
        <w:t>nach einen langen Wachstumsperiode.</w:t>
      </w:r>
      <w:r w:rsidR="001D60CD">
        <w:t xml:space="preserve"> Dennoch machte E-Commerce 15% des </w:t>
      </w:r>
      <w:r w:rsidR="00520A19">
        <w:t>Retail-</w:t>
      </w:r>
      <w:r w:rsidR="001D60CD">
        <w:t xml:space="preserve">Umsatzes </w:t>
      </w:r>
      <w:r w:rsidR="00520A19">
        <w:t>2022 aus.</w:t>
      </w:r>
      <w:r w:rsidR="001A235A">
        <w:t xml:space="preserve"> </w:t>
      </w:r>
      <w:r w:rsidR="00351CDE">
        <w:t xml:space="preserve">Die wichtigsten Produkte </w:t>
      </w:r>
      <w:r w:rsidR="00323D60">
        <w:t xml:space="preserve">für Gucci sind weiterhin Lederprodukte, die ungefähr die Hälfte (52%) des Umsatzes ausmachte. </w:t>
      </w:r>
      <w:r w:rsidR="009C302A">
        <w:t>Danach folgen Schuhe (21% des Umsatzes)</w:t>
      </w:r>
      <w:r w:rsidR="00D6193C">
        <w:t xml:space="preserve"> und Ready-</w:t>
      </w:r>
      <w:proofErr w:type="spellStart"/>
      <w:r w:rsidR="00D6193C">
        <w:t>to</w:t>
      </w:r>
      <w:proofErr w:type="spellEnd"/>
      <w:r w:rsidR="00D6193C">
        <w:t>-</w:t>
      </w:r>
      <w:proofErr w:type="spellStart"/>
      <w:r w:rsidR="00D6193C">
        <w:t>Wear</w:t>
      </w:r>
      <w:proofErr w:type="spellEnd"/>
      <w:r w:rsidR="00D6193C">
        <w:t xml:space="preserve"> Mode (15% des Umsatzes). </w:t>
      </w:r>
      <w:r w:rsidR="001C1898">
        <w:t xml:space="preserve">Außerdem vertreibt Gucci Schuck und </w:t>
      </w:r>
      <w:r w:rsidR="00DD4F81">
        <w:t xml:space="preserve">Uhren (5% des Umsatzes) und sonstige Produkte (7% des Umsatzes). </w:t>
      </w:r>
      <w:r w:rsidR="005310E0">
        <w:t>Die Brutto Operativen Investments Gucci betrugen 2022</w:t>
      </w:r>
      <w:r w:rsidR="00EC0B8E">
        <w:t xml:space="preserve"> 408 Millionen Euro (ein Anstieg von 26%)</w:t>
      </w:r>
      <w:r w:rsidR="000B292D">
        <w:t xml:space="preserve"> Dies entspricht </w:t>
      </w:r>
      <w:r w:rsidR="00F30D7B">
        <w:t>3,3% des Umsatzes, welches</w:t>
      </w:r>
      <w:r w:rsidR="006102A7">
        <w:t>,</w:t>
      </w:r>
      <w:r w:rsidR="00564986">
        <w:t xml:space="preserve"> </w:t>
      </w:r>
      <w:r w:rsidR="00F30D7B">
        <w:t xml:space="preserve">trotz Inflation und steigenden Materialkosten, ein </w:t>
      </w:r>
      <w:r w:rsidR="006102A7">
        <w:t>relativ normaler Wert ist</w:t>
      </w:r>
      <w:r w:rsidR="001D2591">
        <w:t>.</w:t>
      </w:r>
      <w:r w:rsidR="007B488A">
        <w:t xml:space="preserve"> Gucci verzeichnete einen operativen Gewinn von 3,732 Milliarden</w:t>
      </w:r>
      <w:r w:rsidR="00B57AA3">
        <w:t xml:space="preserve"> Euro</w:t>
      </w:r>
      <w:r w:rsidR="007B488A">
        <w:t xml:space="preserve"> </w:t>
      </w:r>
      <w:r w:rsidR="00947D19">
        <w:t>(EBIT)</w:t>
      </w:r>
      <w:r w:rsidR="00B54C9D">
        <w:t xml:space="preserve">. </w:t>
      </w:r>
      <w:r w:rsidR="00AE64BE">
        <w:t xml:space="preserve">Gucci erzielte </w:t>
      </w:r>
      <w:r w:rsidR="00966D88">
        <w:t>somit</w:t>
      </w:r>
      <w:r w:rsidR="00AE64BE">
        <w:t xml:space="preserve"> eine operative Marge von 3</w:t>
      </w:r>
      <w:r w:rsidR="005473F8">
        <w:t>6%</w:t>
      </w:r>
      <w:r w:rsidR="00966D88">
        <w:t>.</w:t>
      </w:r>
    </w:p>
    <w:p w14:paraId="4A4C85EF" w14:textId="5967EEC6" w:rsidR="000361A7" w:rsidRDefault="000361A7"/>
    <w:p w14:paraId="55E4DC99" w14:textId="53BC20E9" w:rsidR="008C2BEE" w:rsidRDefault="009D5A18">
      <w:pPr>
        <w:rPr>
          <w:b/>
        </w:rPr>
      </w:pPr>
      <w:r>
        <w:rPr>
          <w:b/>
          <w:noProof/>
        </w:rPr>
        <w:drawing>
          <wp:anchor distT="0" distB="0" distL="114300" distR="114300" simplePos="0" relativeHeight="251658248" behindDoc="1" locked="0" layoutInCell="1" allowOverlap="1" wp14:anchorId="2B1B3227" wp14:editId="17ACBAC7">
            <wp:simplePos x="0" y="0"/>
            <wp:positionH relativeFrom="column">
              <wp:posOffset>4529992</wp:posOffset>
            </wp:positionH>
            <wp:positionV relativeFrom="paragraph">
              <wp:posOffset>4298</wp:posOffset>
            </wp:positionV>
            <wp:extent cx="647114" cy="647114"/>
            <wp:effectExtent l="0" t="0" r="635" b="635"/>
            <wp:wrapNone/>
            <wp:docPr id="2005871015" name="Grafik 6" descr="Ein Bild, das Entwurf, Symbol, Silhouette,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1015" name="Grafik 6" descr="Ein Bild, das Entwurf, Symbol, Silhouette, Schwarzweiß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7114" cy="647114"/>
                    </a:xfrm>
                    <a:prstGeom prst="rect">
                      <a:avLst/>
                    </a:prstGeom>
                  </pic:spPr>
                </pic:pic>
              </a:graphicData>
            </a:graphic>
            <wp14:sizeRelH relativeFrom="page">
              <wp14:pctWidth>0</wp14:pctWidth>
            </wp14:sizeRelH>
            <wp14:sizeRelV relativeFrom="page">
              <wp14:pctHeight>0</wp14:pctHeight>
            </wp14:sizeRelV>
          </wp:anchor>
        </w:drawing>
      </w:r>
    </w:p>
    <w:p w14:paraId="531BF863" w14:textId="517A9E2D" w:rsidR="008C2BEE" w:rsidRDefault="008C2BEE">
      <w:pPr>
        <w:rPr>
          <w:b/>
        </w:rPr>
      </w:pPr>
    </w:p>
    <w:p w14:paraId="70C9BBD3" w14:textId="03BD14F5" w:rsidR="0014351E" w:rsidRPr="0045445D" w:rsidRDefault="00684896" w:rsidP="0045445D">
      <w:pPr>
        <w:pStyle w:val="berschrift3"/>
        <w:rPr>
          <w:b/>
          <w:bCs/>
        </w:rPr>
      </w:pPr>
      <w:bookmarkStart w:id="5" w:name="_Toc156824933"/>
      <w:r w:rsidRPr="0045445D">
        <w:rPr>
          <w:b/>
          <w:bCs/>
        </w:rPr>
        <w:t xml:space="preserve">Yves </w:t>
      </w:r>
      <w:r w:rsidR="0014351E" w:rsidRPr="0045445D">
        <w:rPr>
          <w:b/>
          <w:bCs/>
        </w:rPr>
        <w:t>Saint Lauren</w:t>
      </w:r>
      <w:r w:rsidR="008A0327" w:rsidRPr="0045445D">
        <w:rPr>
          <w:b/>
          <w:bCs/>
        </w:rPr>
        <w:t>t</w:t>
      </w:r>
      <w:bookmarkEnd w:id="5"/>
    </w:p>
    <w:p w14:paraId="525841A1" w14:textId="05571B0F" w:rsidR="008A0327" w:rsidRDefault="008A0327" w:rsidP="00D947B7">
      <w:r>
        <w:t>Die Modehaus Yves Saint Laurent wurde 1961</w:t>
      </w:r>
      <w:r w:rsidR="00966D88">
        <w:t xml:space="preserve"> </w:t>
      </w:r>
      <w:r>
        <w:t xml:space="preserve">von dem legendären französischen Designer </w:t>
      </w:r>
      <w:r w:rsidRPr="008A0327">
        <w:t>Yves Henri Donat Mathieu-Saint-Laurent</w:t>
      </w:r>
      <w:r>
        <w:t xml:space="preserve"> in Paris gegründet, welcher zuvor u.a. Christian Diors Assistent gewesen war. </w:t>
      </w:r>
      <w:r w:rsidR="0042621E">
        <w:t xml:space="preserve">Zusammen mit seinem </w:t>
      </w:r>
      <w:r w:rsidR="00B412B1">
        <w:t>Geschäftspartner Pierre Bergé baute Saint Laurent</w:t>
      </w:r>
      <w:r w:rsidR="00B1725D">
        <w:t xml:space="preserve"> seine Marke auf</w:t>
      </w:r>
      <w:r w:rsidR="00B412B1">
        <w:t xml:space="preserve">. </w:t>
      </w:r>
      <w:r>
        <w:t xml:space="preserve">Saint-Laurents Anstellung bei Dior endete 1960 und er begann anschließend Kollektionen unter seinem eigenen Namen herauszubringen. Seine ersten Kollektionen wurden zur damaligen Zeit als skandalös erachtetet, da u.a. als erster transparente Stoffe verwendete. </w:t>
      </w:r>
      <w:r w:rsidR="00532F7A">
        <w:t xml:space="preserve">Dennoch begann die Marke in den 60ern und 70ern </w:t>
      </w:r>
      <w:r w:rsidR="003A6B6E">
        <w:t xml:space="preserve">zahlreiche </w:t>
      </w:r>
      <w:r w:rsidR="00532F7A">
        <w:t>Modetrends durchzusetzen</w:t>
      </w:r>
      <w:r w:rsidR="00195EA7">
        <w:t xml:space="preserve">, wie z.B. den </w:t>
      </w:r>
      <w:r w:rsidR="0025608C">
        <w:t>Beatnik Look</w:t>
      </w:r>
      <w:r w:rsidR="00935C8F">
        <w:t xml:space="preserve"> </w:t>
      </w:r>
      <w:r w:rsidR="00445A50">
        <w:t xml:space="preserve">(Verwendung von Leder und dunklen Stoffen), </w:t>
      </w:r>
      <w:r w:rsidR="00A73BC7">
        <w:t xml:space="preserve">Tweed-Anzüge </w:t>
      </w:r>
      <w:r w:rsidR="00EB5A58">
        <w:t>und den „Damensmoking“</w:t>
      </w:r>
      <w:r w:rsidR="009133FF">
        <w:t xml:space="preserve">. </w:t>
      </w:r>
      <w:r w:rsidR="00E056ED">
        <w:t xml:space="preserve"> 1964 </w:t>
      </w:r>
      <w:r w:rsidR="00A201D0">
        <w:t xml:space="preserve">wurde Saint Laurents Kosmetiksparte </w:t>
      </w:r>
      <w:r w:rsidR="00057A9A">
        <w:t xml:space="preserve">YSL-Parfüm ins Leben gerufen. </w:t>
      </w:r>
      <w:r w:rsidR="009133FF">
        <w:t xml:space="preserve">1966 eröffnete Saint Laurent seinen ersten </w:t>
      </w:r>
      <w:r w:rsidR="00057A9A">
        <w:t>Lade</w:t>
      </w:r>
      <w:r w:rsidR="009133FF">
        <w:t>n für</w:t>
      </w:r>
      <w:r w:rsidR="00485183">
        <w:t xml:space="preserve"> seine etwas preiswerte </w:t>
      </w:r>
      <w:r w:rsidR="00485183" w:rsidRPr="00485183">
        <w:t xml:space="preserve">Prêt-à-porter-Mode-Linie Rive </w:t>
      </w:r>
      <w:proofErr w:type="spellStart"/>
      <w:r w:rsidR="00485183" w:rsidRPr="00485183">
        <w:t>Gauche</w:t>
      </w:r>
      <w:proofErr w:type="spellEnd"/>
      <w:r w:rsidR="00485183">
        <w:t xml:space="preserve"> (Zuvor </w:t>
      </w:r>
      <w:r w:rsidR="0090226A">
        <w:t>waren Saint Laurents Modelinien ausschließlich Haute</w:t>
      </w:r>
      <w:r w:rsidR="000B1A48">
        <w:t xml:space="preserve"> Couture)</w:t>
      </w:r>
      <w:r w:rsidR="008773B6">
        <w:t xml:space="preserve"> </w:t>
      </w:r>
      <w:r w:rsidR="000B1A48">
        <w:t xml:space="preserve">und erreichte </w:t>
      </w:r>
      <w:r w:rsidR="00266917">
        <w:t>so</w:t>
      </w:r>
      <w:r w:rsidR="000B1A48">
        <w:t xml:space="preserve"> eine breitere Kundschaft.</w:t>
      </w:r>
      <w:r w:rsidR="00316CD3">
        <w:t xml:space="preserve"> Saint Lauren</w:t>
      </w:r>
      <w:r w:rsidR="008773B6">
        <w:t>t</w:t>
      </w:r>
      <w:r w:rsidR="00316CD3">
        <w:t xml:space="preserve"> schuf den </w:t>
      </w:r>
      <w:r w:rsidR="00733C93">
        <w:t xml:space="preserve">androgynen Typ und gewann </w:t>
      </w:r>
      <w:r w:rsidR="004F1E54">
        <w:t>immer größere internationale Beachtung.</w:t>
      </w:r>
      <w:r w:rsidR="00F34EE9">
        <w:t xml:space="preserve"> 1989 ging Saint Laurent an die Pariser Börse.</w:t>
      </w:r>
      <w:r w:rsidR="006717E5">
        <w:t xml:space="preserve"> 1993 verkauften Saint Laurent und Bergé </w:t>
      </w:r>
      <w:r w:rsidR="00D76C12">
        <w:t xml:space="preserve">YSL für ca. 600 Millionen Euro an den Pharmakonzern </w:t>
      </w:r>
      <w:proofErr w:type="spellStart"/>
      <w:r w:rsidR="00D76C12">
        <w:t>Safoni</w:t>
      </w:r>
      <w:proofErr w:type="spellEnd"/>
      <w:r w:rsidR="00D76C12">
        <w:t>, behielten jedoch die Kontrolle über die Modesparte.</w:t>
      </w:r>
      <w:r w:rsidR="00070F3B">
        <w:t xml:space="preserve"> </w:t>
      </w:r>
      <w:r w:rsidR="003231BE">
        <w:t>Die Gucci Gruppe kaufte wiederum die Kosmetik</w:t>
      </w:r>
      <w:r w:rsidR="00051FA1">
        <w:t>- sowie die Modesparte von YSL Ende 1999 für ca. 9</w:t>
      </w:r>
      <w:r w:rsidR="002A43F4">
        <w:t>17</w:t>
      </w:r>
      <w:r w:rsidR="00051FA1">
        <w:t xml:space="preserve"> Millionen Euro</w:t>
      </w:r>
      <w:r w:rsidR="00966B64">
        <w:t>.</w:t>
      </w:r>
      <w:r w:rsidR="00CD7B76">
        <w:t xml:space="preserve"> Tom Ford übernahm daraufhin die Verantwortung für die </w:t>
      </w:r>
      <w:r w:rsidR="00CD7B76" w:rsidRPr="00485183">
        <w:t xml:space="preserve">Rive </w:t>
      </w:r>
      <w:proofErr w:type="spellStart"/>
      <w:r w:rsidR="00CD7B76" w:rsidRPr="00485183">
        <w:t>Gauche</w:t>
      </w:r>
      <w:proofErr w:type="spellEnd"/>
      <w:r w:rsidR="00CD7B76">
        <w:t xml:space="preserve"> Linie. </w:t>
      </w:r>
      <w:r w:rsidR="009A14F9">
        <w:t xml:space="preserve">Yves Saint Laurent blieb </w:t>
      </w:r>
      <w:r w:rsidR="00F1091E">
        <w:t xml:space="preserve">bis 2002 </w:t>
      </w:r>
      <w:r w:rsidR="009A14F9">
        <w:t xml:space="preserve">für die Haute Couture </w:t>
      </w:r>
      <w:r w:rsidR="00F1091E">
        <w:t xml:space="preserve">Linie verantwortlich. </w:t>
      </w:r>
      <w:r w:rsidR="00DE1F5F">
        <w:t>Nach seinem Abschied wurde die Haute Coutu</w:t>
      </w:r>
      <w:r w:rsidR="007244B9">
        <w:t>re Linie eingestellt. 2003 verließ auch die Tom Ford YSL.</w:t>
      </w:r>
      <w:r w:rsidR="00DA0831">
        <w:t xml:space="preserve"> Sein Nachfolger wurde </w:t>
      </w:r>
      <w:r w:rsidR="0020311D">
        <w:t>der Italiener Stefano Pilati.</w:t>
      </w:r>
      <w:r w:rsidR="003A7364">
        <w:t xml:space="preserve"> 2008 verkaufte Kering die </w:t>
      </w:r>
      <w:r w:rsidR="004A1806">
        <w:t xml:space="preserve">YSL Kosmetiksparte für </w:t>
      </w:r>
      <w:r w:rsidR="00173667">
        <w:t xml:space="preserve">1,15 Milliarden Euro an </w:t>
      </w:r>
      <w:r w:rsidR="00173667" w:rsidRPr="00173667">
        <w:t>L’Oréal</w:t>
      </w:r>
      <w:r w:rsidR="00173667">
        <w:t xml:space="preserve">. </w:t>
      </w:r>
      <w:r w:rsidR="0047155C">
        <w:t xml:space="preserve">2011 wurde die Gucci Gruppe aufgelöst und </w:t>
      </w:r>
      <w:r w:rsidR="006F563D">
        <w:t>YSL wurde als gleichberechtigte Tochtermarke Kering umfirmiert.</w:t>
      </w:r>
      <w:r w:rsidR="009E7708">
        <w:t xml:space="preserve"> Pilati verließ das Unternehmen</w:t>
      </w:r>
      <w:r w:rsidR="00C153B3">
        <w:t xml:space="preserve"> 2012 und wurde durch Hedi Slimane ersetzt.</w:t>
      </w:r>
      <w:r w:rsidR="00A057D5">
        <w:t xml:space="preserve"> 2012 </w:t>
      </w:r>
      <w:r w:rsidR="00041F21">
        <w:t xml:space="preserve">wurde die Modelinie </w:t>
      </w:r>
      <w:r w:rsidR="00041F21" w:rsidRPr="00485183">
        <w:t xml:space="preserve">Rive </w:t>
      </w:r>
      <w:proofErr w:type="spellStart"/>
      <w:r w:rsidR="00041F21" w:rsidRPr="00485183">
        <w:t>Gauche</w:t>
      </w:r>
      <w:proofErr w:type="spellEnd"/>
      <w:r w:rsidR="00041F21">
        <w:t xml:space="preserve"> (YSL nunmehr einzige Modelinie) in Saint Laurent Paris umbenannt.</w:t>
      </w:r>
      <w:r w:rsidR="007C3679">
        <w:t xml:space="preserve"> Slimanes er</w:t>
      </w:r>
      <w:r w:rsidR="00D5265E">
        <w:t xml:space="preserve">ste </w:t>
      </w:r>
      <w:r w:rsidR="007D1AFE">
        <w:t>Herrenkollektion für 2013 war eine Hommage an den</w:t>
      </w:r>
      <w:r w:rsidR="002C2A21">
        <w:t xml:space="preserve"> Grunge</w:t>
      </w:r>
      <w:r w:rsidR="00DE7450">
        <w:t xml:space="preserve">. </w:t>
      </w:r>
      <w:r w:rsidR="008937DC">
        <w:t>Androgyne Models trugen zerfetzte „Skinny Jeans“ und lange Strickschals. Die Kollektion wurde gemischt aufgenommen.</w:t>
      </w:r>
      <w:r w:rsidR="00470024">
        <w:t xml:space="preserve"> Nichtsdestotrotz stiegen die Absatzzahlen stark an.</w:t>
      </w:r>
      <w:r w:rsidR="00D668E3">
        <w:t xml:space="preserve"> Slimane blieb bis 2016 bei YSL.</w:t>
      </w:r>
      <w:r w:rsidR="007079AD">
        <w:t xml:space="preserve"> Ihm folgte der Belgier Anthony </w:t>
      </w:r>
      <w:proofErr w:type="spellStart"/>
      <w:r w:rsidR="00975581">
        <w:t>Vaccarello</w:t>
      </w:r>
      <w:proofErr w:type="spellEnd"/>
      <w:r w:rsidR="00732F8A">
        <w:t xml:space="preserve">, welcher bis heute YSL Creative </w:t>
      </w:r>
      <w:proofErr w:type="spellStart"/>
      <w:r w:rsidR="00732F8A">
        <w:t>Director</w:t>
      </w:r>
      <w:proofErr w:type="spellEnd"/>
      <w:r w:rsidR="00732F8A">
        <w:t xml:space="preserve"> ist.</w:t>
      </w:r>
      <w:r w:rsidR="00A70749">
        <w:t xml:space="preserve"> YSLs Geschäftsführer</w:t>
      </w:r>
      <w:r w:rsidR="002D5422">
        <w:t>in</w:t>
      </w:r>
      <w:r w:rsidR="00A70749">
        <w:t xml:space="preserve"> ist </w:t>
      </w:r>
      <w:r w:rsidR="00D93CBB" w:rsidRPr="00D93CBB">
        <w:t xml:space="preserve">Francesca </w:t>
      </w:r>
      <w:proofErr w:type="spellStart"/>
      <w:r w:rsidR="00D93CBB" w:rsidRPr="00D93CBB">
        <w:t>Bellettini</w:t>
      </w:r>
      <w:proofErr w:type="spellEnd"/>
      <w:r w:rsidR="00D93CBB">
        <w:t>.</w:t>
      </w:r>
    </w:p>
    <w:p w14:paraId="5BEEDC71" w14:textId="702C1FBD" w:rsidR="00A43445" w:rsidRPr="00684896" w:rsidRDefault="00747F01" w:rsidP="00D947B7">
      <w:r>
        <w:t>Yves Saint Lauren</w:t>
      </w:r>
      <w:r w:rsidR="008A0327">
        <w:t>t</w:t>
      </w:r>
      <w:r>
        <w:t xml:space="preserve"> erwirtschaftete im Fiskaljahr 2022 rund 3,3 Milliarden Euro Umsatz und mach</w:t>
      </w:r>
      <w:r w:rsidR="00890E17">
        <w:t>t</w:t>
      </w:r>
      <w:r>
        <w:t>e so rund</w:t>
      </w:r>
      <w:r w:rsidR="00890E17">
        <w:t xml:space="preserve"> 16% des Konzern-Umsatzes aus. </w:t>
      </w:r>
      <w:r w:rsidR="0004037C">
        <w:t>Sa</w:t>
      </w:r>
      <w:r w:rsidR="00243742">
        <w:t>int</w:t>
      </w:r>
      <w:r w:rsidR="00BC06E5">
        <w:t xml:space="preserve"> Lauren</w:t>
      </w:r>
      <w:r w:rsidR="008A0327">
        <w:t>t</w:t>
      </w:r>
      <w:r w:rsidR="0017047B">
        <w:t>s</w:t>
      </w:r>
      <w:r w:rsidR="00BC06E5">
        <w:t xml:space="preserve"> eigenen Läden und Internet-Shops machten </w:t>
      </w:r>
      <w:r w:rsidR="0017047B">
        <w:t>ca. 77% des Gesamtumsatzes aus</w:t>
      </w:r>
      <w:r w:rsidR="00CB5890">
        <w:t xml:space="preserve">, der Großhandel dementsprechend 23%. </w:t>
      </w:r>
      <w:r w:rsidR="004E5FE9">
        <w:t xml:space="preserve">Lederware ist für Saint Lauren </w:t>
      </w:r>
      <w:r w:rsidR="004E5FE9">
        <w:lastRenderedPageBreak/>
        <w:t>weiterhin das mit am Abstand wichtigste Produkt</w:t>
      </w:r>
      <w:r w:rsidR="00B653CC">
        <w:t xml:space="preserve"> (</w:t>
      </w:r>
      <w:r w:rsidR="00366E3C">
        <w:t xml:space="preserve">75% </w:t>
      </w:r>
      <w:r w:rsidR="00B653CC">
        <w:t>Umsatz-Anteil</w:t>
      </w:r>
      <w:r w:rsidR="009E580E">
        <w:t>)</w:t>
      </w:r>
      <w:r w:rsidR="00A059A0">
        <w:t xml:space="preserve">. Danach </w:t>
      </w:r>
      <w:r w:rsidR="00ED1D65">
        <w:t>folgen</w:t>
      </w:r>
      <w:r w:rsidR="00A059A0">
        <w:t xml:space="preserve"> Ready </w:t>
      </w:r>
      <w:proofErr w:type="spellStart"/>
      <w:r w:rsidR="00A059A0">
        <w:t>to</w:t>
      </w:r>
      <w:proofErr w:type="spellEnd"/>
      <w:r w:rsidR="00A059A0">
        <w:t xml:space="preserve"> </w:t>
      </w:r>
      <w:proofErr w:type="spellStart"/>
      <w:r w:rsidR="00A059A0">
        <w:t>Wear</w:t>
      </w:r>
      <w:proofErr w:type="spellEnd"/>
      <w:r w:rsidR="00A059A0">
        <w:t xml:space="preserve"> Fashion</w:t>
      </w:r>
      <w:r w:rsidR="00C6719C">
        <w:t xml:space="preserve"> (Umsatz-Anteil)</w:t>
      </w:r>
      <w:r w:rsidR="00A059A0">
        <w:t xml:space="preserve"> </w:t>
      </w:r>
      <w:r w:rsidR="00ED1D65">
        <w:t>und Schuhe (9%</w:t>
      </w:r>
      <w:r w:rsidR="00366E3C">
        <w:t xml:space="preserve"> Umsatz-Anteil)</w:t>
      </w:r>
      <w:r w:rsidR="006168DF">
        <w:t xml:space="preserve">, wobei Ready </w:t>
      </w:r>
      <w:proofErr w:type="spellStart"/>
      <w:r w:rsidR="006168DF">
        <w:t>to</w:t>
      </w:r>
      <w:proofErr w:type="spellEnd"/>
      <w:r w:rsidR="006168DF">
        <w:t xml:space="preserve"> </w:t>
      </w:r>
      <w:proofErr w:type="spellStart"/>
      <w:r w:rsidR="006168DF">
        <w:t>Wear</w:t>
      </w:r>
      <w:proofErr w:type="spellEnd"/>
      <w:r w:rsidR="006168DF">
        <w:t xml:space="preserve"> Fashion das am stärksten wachsenste Ges</w:t>
      </w:r>
      <w:r w:rsidR="001B1FB8">
        <w:t xml:space="preserve">chäftssegment ist. </w:t>
      </w:r>
      <w:r w:rsidR="00A43445">
        <w:t xml:space="preserve">Der Erlös aus vergebenen Lizenzen entwickelte sich ebenfalls äußert Positiv. </w:t>
      </w:r>
      <w:r w:rsidR="00FA0B77">
        <w:t>(</w:t>
      </w:r>
      <w:r w:rsidR="00E57921">
        <w:t>Lizenzen</w:t>
      </w:r>
      <w:r w:rsidR="000C5C6A">
        <w:t>-Erlöse von</w:t>
      </w:r>
      <w:r w:rsidR="00E57921">
        <w:t xml:space="preserve"> L’Oréal und Kering </w:t>
      </w:r>
      <w:proofErr w:type="spellStart"/>
      <w:r w:rsidR="00E57921">
        <w:t>Eyewear</w:t>
      </w:r>
      <w:proofErr w:type="spellEnd"/>
      <w:r w:rsidR="00E57921">
        <w:t xml:space="preserve">). </w:t>
      </w:r>
      <w:r w:rsidR="004818F7">
        <w:t xml:space="preserve">Das globale Netz </w:t>
      </w:r>
      <w:r w:rsidR="00EE1FFF">
        <w:t xml:space="preserve">aus </w:t>
      </w:r>
      <w:r w:rsidR="004818F7">
        <w:t xml:space="preserve">Saint </w:t>
      </w:r>
      <w:r w:rsidR="008A0327">
        <w:t>Laurent</w:t>
      </w:r>
      <w:r w:rsidR="004818F7">
        <w:t>s</w:t>
      </w:r>
      <w:r w:rsidR="00EE1FFF">
        <w:t xml:space="preserve"> Läden</w:t>
      </w:r>
      <w:r w:rsidR="004818F7">
        <w:t xml:space="preserve"> besteht aus insgesamt 280 direkt operierter Läden.</w:t>
      </w:r>
      <w:r w:rsidR="00591458">
        <w:t xml:space="preserve"> </w:t>
      </w:r>
      <w:r w:rsidR="00336D36">
        <w:t>YSL</w:t>
      </w:r>
      <w:r w:rsidR="00591458">
        <w:t xml:space="preserve"> verfügt jedoch</w:t>
      </w:r>
      <w:r w:rsidR="00336D36">
        <w:t xml:space="preserve"> über</w:t>
      </w:r>
      <w:r w:rsidR="00591458">
        <w:t xml:space="preserve"> die Kapazitäten ungefähr </w:t>
      </w:r>
      <w:r w:rsidR="00731448">
        <w:t xml:space="preserve">300 bis 350 Läden zu betreiben. Das Netzwerk an Läden soll </w:t>
      </w:r>
      <w:r w:rsidR="00D333FD">
        <w:t>demzufolge noch weiter ausgebaut werden.</w:t>
      </w:r>
      <w:r w:rsidR="00924E8A">
        <w:t xml:space="preserve"> Saint </w:t>
      </w:r>
      <w:r w:rsidR="008A0327">
        <w:t>Laurent</w:t>
      </w:r>
      <w:r w:rsidR="00924E8A">
        <w:t xml:space="preserve"> </w:t>
      </w:r>
      <w:r w:rsidR="00A07DE6">
        <w:t>operativen Investments beliefen sich 2022 auf ca.</w:t>
      </w:r>
      <w:r w:rsidR="005F72EE">
        <w:t xml:space="preserve"> 120 Millionen Euro (fast 40 Million Euro Anstieg vgl. 2021)</w:t>
      </w:r>
      <w:r w:rsidR="007777F9">
        <w:t xml:space="preserve">. Mit </w:t>
      </w:r>
      <w:r w:rsidR="00E119D8">
        <w:t xml:space="preserve">einem operativen Ergebnis von </w:t>
      </w:r>
      <w:r w:rsidR="00CE1CC1">
        <w:t xml:space="preserve">1,02 Milliarden Euro erzielte Saint Laurent eine </w:t>
      </w:r>
      <w:r w:rsidR="00CC701F">
        <w:t xml:space="preserve">operative Margen von </w:t>
      </w:r>
      <w:r w:rsidR="00B57AA3">
        <w:t xml:space="preserve">31%. </w:t>
      </w:r>
    </w:p>
    <w:p w14:paraId="195E7DEF" w14:textId="3F7DBC07" w:rsidR="0014351E" w:rsidRDefault="008A0327">
      <w:r>
        <w:rPr>
          <w:b/>
          <w:noProof/>
        </w:rPr>
        <w:drawing>
          <wp:anchor distT="0" distB="0" distL="114300" distR="114300" simplePos="0" relativeHeight="251658249" behindDoc="1" locked="0" layoutInCell="1" allowOverlap="1" wp14:anchorId="6A86807F" wp14:editId="6F805A67">
            <wp:simplePos x="0" y="0"/>
            <wp:positionH relativeFrom="margin">
              <wp:posOffset>3678799</wp:posOffset>
            </wp:positionH>
            <wp:positionV relativeFrom="paragraph">
              <wp:posOffset>7473</wp:posOffset>
            </wp:positionV>
            <wp:extent cx="1631852" cy="1631852"/>
            <wp:effectExtent l="0" t="0" r="6985" b="6985"/>
            <wp:wrapNone/>
            <wp:docPr id="846924303" name="Grafik 7" descr="Ein Bild, das Schrift, weiß,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24303" name="Grafik 7" descr="Ein Bild, das Schrift, weiß, Text, Design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1631852" cy="1631852"/>
                    </a:xfrm>
                    <a:prstGeom prst="rect">
                      <a:avLst/>
                    </a:prstGeom>
                  </pic:spPr>
                </pic:pic>
              </a:graphicData>
            </a:graphic>
            <wp14:sizeRelH relativeFrom="margin">
              <wp14:pctWidth>0</wp14:pctWidth>
            </wp14:sizeRelH>
            <wp14:sizeRelV relativeFrom="margin">
              <wp14:pctHeight>0</wp14:pctHeight>
            </wp14:sizeRelV>
          </wp:anchor>
        </w:drawing>
      </w:r>
    </w:p>
    <w:p w14:paraId="772432B4" w14:textId="016C13BB" w:rsidR="009D5A18" w:rsidRDefault="009D5A18" w:rsidP="00F36CE4">
      <w:pPr>
        <w:rPr>
          <w:b/>
        </w:rPr>
      </w:pPr>
    </w:p>
    <w:p w14:paraId="797B9565" w14:textId="1B07CADB" w:rsidR="009D5A18" w:rsidRDefault="009D5A18" w:rsidP="00F36CE4">
      <w:pPr>
        <w:rPr>
          <w:b/>
        </w:rPr>
      </w:pPr>
    </w:p>
    <w:p w14:paraId="6EB92CC7" w14:textId="4ED8380E" w:rsidR="00F36CE4" w:rsidRPr="0045445D" w:rsidRDefault="00433072" w:rsidP="0045445D">
      <w:pPr>
        <w:pStyle w:val="berschrift3"/>
        <w:rPr>
          <w:b/>
          <w:bCs/>
        </w:rPr>
      </w:pPr>
      <w:bookmarkStart w:id="6" w:name="_Toc156824934"/>
      <w:r>
        <w:drawing>
          <wp:anchor distT="0" distB="0" distL="114300" distR="114300" simplePos="0" relativeHeight="251680777" behindDoc="1" locked="0" layoutInCell="1" allowOverlap="1" wp14:anchorId="4671A7D2" wp14:editId="50C275C7">
            <wp:simplePos x="0" y="0"/>
            <wp:positionH relativeFrom="margin">
              <wp:posOffset>0</wp:posOffset>
            </wp:positionH>
            <wp:positionV relativeFrom="paragraph">
              <wp:posOffset>212653</wp:posOffset>
            </wp:positionV>
            <wp:extent cx="1052830" cy="1406525"/>
            <wp:effectExtent l="0" t="0" r="0" b="3175"/>
            <wp:wrapSquare wrapText="bothSides"/>
            <wp:docPr id="2016517861" name="Grafik 7" descr="Ein Bild, das Zubehör, Tasche, Handtasche, Gepäck und Koff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17861" name="Grafik 7" descr="Ein Bild, das Zubehör, Tasche, Handtasche, Gepäck und Koffer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2830" cy="1406525"/>
                    </a:xfrm>
                    <a:prstGeom prst="rect">
                      <a:avLst/>
                    </a:prstGeom>
                  </pic:spPr>
                </pic:pic>
              </a:graphicData>
            </a:graphic>
            <wp14:sizeRelH relativeFrom="margin">
              <wp14:pctWidth>0</wp14:pctWidth>
            </wp14:sizeRelH>
            <wp14:sizeRelV relativeFrom="margin">
              <wp14:pctHeight>0</wp14:pctHeight>
            </wp14:sizeRelV>
          </wp:anchor>
        </w:drawing>
      </w:r>
      <w:r w:rsidR="00F36CE4" w:rsidRPr="0045445D">
        <w:rPr>
          <w:b/>
          <w:bCs/>
        </w:rPr>
        <w:t>Bot</w:t>
      </w:r>
      <w:r w:rsidR="005B20A1" w:rsidRPr="0045445D">
        <w:rPr>
          <w:b/>
          <w:bCs/>
        </w:rPr>
        <w:t>t</w:t>
      </w:r>
      <w:r w:rsidR="00F36CE4" w:rsidRPr="0045445D">
        <w:rPr>
          <w:b/>
          <w:bCs/>
        </w:rPr>
        <w:t>ega Veneta</w:t>
      </w:r>
      <w:bookmarkEnd w:id="6"/>
      <w:r w:rsidR="00F36CE4" w:rsidRPr="0045445D">
        <w:rPr>
          <w:b/>
          <w:bCs/>
        </w:rPr>
        <w:t xml:space="preserve"> </w:t>
      </w:r>
    </w:p>
    <w:p w14:paraId="5CD9BFDA" w14:textId="5054589C" w:rsidR="003D5509" w:rsidRDefault="00952CCC">
      <w:r>
        <w:rPr>
          <w:noProof/>
        </w:rPr>
        <mc:AlternateContent>
          <mc:Choice Requires="wps">
            <w:drawing>
              <wp:anchor distT="45720" distB="45720" distL="114300" distR="114300" simplePos="0" relativeHeight="251664393" behindDoc="1" locked="0" layoutInCell="1" allowOverlap="1" wp14:anchorId="730F9382" wp14:editId="031CB62D">
                <wp:simplePos x="0" y="0"/>
                <wp:positionH relativeFrom="column">
                  <wp:posOffset>-135255</wp:posOffset>
                </wp:positionH>
                <wp:positionV relativeFrom="paragraph">
                  <wp:posOffset>1261038</wp:posOffset>
                </wp:positionV>
                <wp:extent cx="1378585" cy="759460"/>
                <wp:effectExtent l="0" t="0" r="0" b="2540"/>
                <wp:wrapNone/>
                <wp:docPr id="18963623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759460"/>
                        </a:xfrm>
                        <a:prstGeom prst="rect">
                          <a:avLst/>
                        </a:prstGeom>
                        <a:solidFill>
                          <a:srgbClr val="FFFFFF"/>
                        </a:solidFill>
                        <a:ln w="9525">
                          <a:noFill/>
                          <a:miter lim="800000"/>
                          <a:headEnd/>
                          <a:tailEnd/>
                        </a:ln>
                      </wps:spPr>
                      <wps:txbx>
                        <w:txbxContent>
                          <w:p w14:paraId="60912F84" w14:textId="3A35E51C" w:rsidR="00AC51C6" w:rsidRPr="00AC51C6" w:rsidRDefault="00864E06">
                            <w:pPr>
                              <w:rPr>
                                <w:rFonts w:cstheme="minorHAnsi"/>
                                <w:color w:val="808080" w:themeColor="background1" w:themeShade="80"/>
                                <w:sz w:val="14"/>
                                <w:szCs w:val="14"/>
                              </w:rPr>
                            </w:pPr>
                            <w:proofErr w:type="spellStart"/>
                            <w:r w:rsidRPr="00864E06">
                              <w:rPr>
                                <w:rFonts w:cstheme="minorHAnsi"/>
                                <w:color w:val="808080" w:themeColor="background1" w:themeShade="80"/>
                                <w:sz w:val="14"/>
                                <w:szCs w:val="14"/>
                              </w:rPr>
                              <w:t>Intrecciato</w:t>
                            </w:r>
                            <w:proofErr w:type="spellEnd"/>
                            <w:r>
                              <w:rPr>
                                <w:rFonts w:cstheme="minorHAnsi"/>
                                <w:color w:val="808080" w:themeColor="background1" w:themeShade="80"/>
                                <w:sz w:val="14"/>
                                <w:szCs w:val="14"/>
                              </w:rPr>
                              <w:t xml:space="preserve"> </w:t>
                            </w:r>
                            <w:r w:rsidR="00B65129">
                              <w:rPr>
                                <w:rFonts w:cstheme="minorHAnsi"/>
                                <w:color w:val="808080" w:themeColor="background1" w:themeShade="80"/>
                                <w:sz w:val="14"/>
                                <w:szCs w:val="14"/>
                              </w:rPr>
                              <w:t>Leder-Flechtmuster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F9382" id="_x0000_s1030" type="#_x0000_t202" style="position:absolute;margin-left:-10.65pt;margin-top:99.3pt;width:108.55pt;height:59.8pt;z-index:-2516520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" stroked="f">
                <v:textbox>
                  <w:txbxContent>
                    <w:p w14:paraId="60912F84" w14:textId="3A35E51C" w:rsidR="00AC51C6" w:rsidRPr="00AC51C6" w:rsidRDefault="00864E06">
                      <w:pPr>
                        <w:rPr>
                          <w:rFonts w:cstheme="minorHAnsi"/>
                          <w:color w:val="808080" w:themeColor="background1" w:themeShade="80"/>
                          <w:sz w:val="14"/>
                          <w:szCs w:val="14"/>
                        </w:rPr>
                      </w:pPr>
                      <w:proofErr w:type="spellStart"/>
                      <w:r w:rsidRPr="00864E06">
                        <w:rPr>
                          <w:rFonts w:cstheme="minorHAnsi"/>
                          <w:color w:val="808080" w:themeColor="background1" w:themeShade="80"/>
                          <w:sz w:val="14"/>
                          <w:szCs w:val="14"/>
                        </w:rPr>
                        <w:t>Intrecciato</w:t>
                      </w:r>
                      <w:proofErr w:type="spellEnd"/>
                      <w:r>
                        <w:rPr>
                          <w:rFonts w:cstheme="minorHAnsi"/>
                          <w:color w:val="808080" w:themeColor="background1" w:themeShade="80"/>
                          <w:sz w:val="14"/>
                          <w:szCs w:val="14"/>
                        </w:rPr>
                        <w:t xml:space="preserve"> </w:t>
                      </w:r>
                      <w:r w:rsidR="00B65129">
                        <w:rPr>
                          <w:rFonts w:cstheme="minorHAnsi"/>
                          <w:color w:val="808080" w:themeColor="background1" w:themeShade="80"/>
                          <w:sz w:val="14"/>
                          <w:szCs w:val="14"/>
                        </w:rPr>
                        <w:t>Leder-Flechtmuster</w:t>
                      </w:r>
                    </w:p>
                  </w:txbxContent>
                </v:textbox>
              </v:shape>
            </w:pict>
          </mc:Fallback>
        </mc:AlternateContent>
      </w:r>
      <w:r w:rsidR="008543D2">
        <w:t xml:space="preserve">Bottega </w:t>
      </w:r>
      <w:proofErr w:type="spellStart"/>
      <w:r w:rsidR="008543D2">
        <w:t>Veneta</w:t>
      </w:r>
      <w:proofErr w:type="spellEnd"/>
      <w:r w:rsidR="00AD4CED">
        <w:t xml:space="preserve">, zu Deutsch </w:t>
      </w:r>
      <w:r w:rsidR="00152631">
        <w:t>venezianische Werkstatt,</w:t>
      </w:r>
      <w:r w:rsidR="008543D2">
        <w:t xml:space="preserve"> ist ein</w:t>
      </w:r>
      <w:r w:rsidR="00557877">
        <w:t xml:space="preserve"> italienisches Modelabel, welches 1966 von den Unternehmern</w:t>
      </w:r>
      <w:r w:rsidR="00D74BF6">
        <w:rPr>
          <w:rFonts w:ascii="Arial" w:hAnsi="Arial" w:cs="Arial"/>
          <w:color w:val="202122"/>
          <w:sz w:val="21"/>
          <w:szCs w:val="21"/>
          <w:shd w:val="clear" w:color="auto" w:fill="FFFFFF"/>
        </w:rPr>
        <w:t> </w:t>
      </w:r>
      <w:r w:rsidR="00D74BF6" w:rsidRPr="00D74BF6">
        <w:t xml:space="preserve">Michele </w:t>
      </w:r>
      <w:proofErr w:type="spellStart"/>
      <w:r w:rsidR="00D74BF6" w:rsidRPr="00D74BF6">
        <w:t>Taddei</w:t>
      </w:r>
      <w:proofErr w:type="spellEnd"/>
      <w:r w:rsidR="00D74BF6" w:rsidRPr="00D74BF6">
        <w:t xml:space="preserve"> und Renzo </w:t>
      </w:r>
      <w:proofErr w:type="spellStart"/>
      <w:r w:rsidR="00D74BF6" w:rsidRPr="00D74BF6">
        <w:t>Zengiaro</w:t>
      </w:r>
      <w:proofErr w:type="spellEnd"/>
      <w:r w:rsidR="004B6DF8">
        <w:t xml:space="preserve"> in </w:t>
      </w:r>
      <w:r w:rsidR="00AD4CED">
        <w:t>Vicenza gegründet wurde.</w:t>
      </w:r>
      <w:r w:rsidR="00661BDC">
        <w:t xml:space="preserve"> Seit Beginn </w:t>
      </w:r>
      <w:r w:rsidR="004E2AF1">
        <w:t>war die Haupttätigkeit des Unternehmens die Produktion von Lederware</w:t>
      </w:r>
      <w:r w:rsidR="00FB4EE4">
        <w:t xml:space="preserve">. </w:t>
      </w:r>
      <w:r w:rsidR="00423272">
        <w:t>Bottega entwickelte ein typische</w:t>
      </w:r>
      <w:r w:rsidR="00433072">
        <w:t>s</w:t>
      </w:r>
      <w:r w:rsidR="00423272">
        <w:t xml:space="preserve"> Leder-Flecht</w:t>
      </w:r>
      <w:r w:rsidR="00A73A1B">
        <w:t>muster</w:t>
      </w:r>
      <w:r w:rsidR="00423272">
        <w:t>, d</w:t>
      </w:r>
      <w:r w:rsidR="00A73A1B">
        <w:t>as</w:t>
      </w:r>
      <w:r w:rsidR="00423272">
        <w:t xml:space="preserve"> sogenannte </w:t>
      </w:r>
      <w:proofErr w:type="spellStart"/>
      <w:r w:rsidR="00A73A1B" w:rsidRPr="00A73A1B">
        <w:t>Intrecciato</w:t>
      </w:r>
      <w:proofErr w:type="spellEnd"/>
      <w:r w:rsidR="00A73A1B">
        <w:t xml:space="preserve"> (</w:t>
      </w:r>
      <w:proofErr w:type="spellStart"/>
      <w:r w:rsidR="00A73A1B">
        <w:t>itl</w:t>
      </w:r>
      <w:proofErr w:type="spellEnd"/>
      <w:r w:rsidR="00A73A1B">
        <w:t xml:space="preserve">. für geflochten), welches </w:t>
      </w:r>
      <w:r w:rsidR="008C6149">
        <w:t>zu ihrem Markenzeichen wurde.</w:t>
      </w:r>
      <w:r w:rsidR="00046709">
        <w:t xml:space="preserve"> Das U</w:t>
      </w:r>
      <w:r w:rsidR="007D0BC9">
        <w:t>nternehmen warb in den 70ern mit dem Slogan: „</w:t>
      </w:r>
      <w:proofErr w:type="spellStart"/>
      <w:r w:rsidR="007D0BC9">
        <w:t>When</w:t>
      </w:r>
      <w:proofErr w:type="spellEnd"/>
      <w:r w:rsidR="007D0BC9">
        <w:t xml:space="preserve"> </w:t>
      </w:r>
      <w:proofErr w:type="spellStart"/>
      <w:r w:rsidR="007D0BC9">
        <w:t>your</w:t>
      </w:r>
      <w:proofErr w:type="spellEnd"/>
      <w:r w:rsidR="007D0BC9">
        <w:t xml:space="preserve"> own </w:t>
      </w:r>
      <w:proofErr w:type="spellStart"/>
      <w:r w:rsidR="00FD7006">
        <w:t>initials</w:t>
      </w:r>
      <w:proofErr w:type="spellEnd"/>
      <w:r w:rsidR="007D0BC9">
        <w:t xml:space="preserve"> </w:t>
      </w:r>
      <w:proofErr w:type="spellStart"/>
      <w:r w:rsidR="007D0BC9">
        <w:t>are</w:t>
      </w:r>
      <w:proofErr w:type="spellEnd"/>
      <w:r w:rsidR="007D0BC9">
        <w:t xml:space="preserve"> </w:t>
      </w:r>
      <w:proofErr w:type="spellStart"/>
      <w:r w:rsidR="007D0BC9">
        <w:t>enough</w:t>
      </w:r>
      <w:proofErr w:type="spellEnd"/>
      <w:r w:rsidR="007D0BC9">
        <w:t>“</w:t>
      </w:r>
      <w:r w:rsidR="008F1FBA">
        <w:t xml:space="preserve">, man verzichtete als auf die Verwendung </w:t>
      </w:r>
      <w:r w:rsidR="00FD7006">
        <w:t>eines Logos auf den Produkten</w:t>
      </w:r>
      <w:r w:rsidR="00C15D4D">
        <w:t>. In den 80ern verabsch</w:t>
      </w:r>
      <w:r w:rsidR="00F3530F">
        <w:t xml:space="preserve">iedete man sich jedoch von diesem Prinzip und begann </w:t>
      </w:r>
      <w:r w:rsidR="003D15CA">
        <w:t>die eigenen Produkte mit BV-Logo zu schmücken. Gleichzeitig vern</w:t>
      </w:r>
      <w:r w:rsidR="008B5EE3">
        <w:t xml:space="preserve">achlässigte man die Qualität der Produkte. Das führte </w:t>
      </w:r>
      <w:r w:rsidR="0040033D">
        <w:t xml:space="preserve">dazu, dass die Beliebtheit </w:t>
      </w:r>
      <w:proofErr w:type="spellStart"/>
      <w:r w:rsidR="0040033D">
        <w:t>Bottegas</w:t>
      </w:r>
      <w:proofErr w:type="spellEnd"/>
      <w:r w:rsidR="0040033D">
        <w:t xml:space="preserve"> rasant </w:t>
      </w:r>
      <w:r w:rsidR="00614DAD">
        <w:t xml:space="preserve">abnahm. Anfang des Jahres 2001 wurde das kriselnde Unternehmen von der damaligen </w:t>
      </w:r>
      <w:r w:rsidR="008409A9">
        <w:t>Gucci Group übernommen und wurde später in den Kering Konzern überführt.</w:t>
      </w:r>
      <w:r w:rsidR="002F4A42">
        <w:t xml:space="preserve"> Gleichzeitig wurde 2001 der deutsche </w:t>
      </w:r>
      <w:r w:rsidR="00556F74">
        <w:t xml:space="preserve">Tomas Maier </w:t>
      </w:r>
      <w:proofErr w:type="spellStart"/>
      <w:r w:rsidR="00556F74">
        <w:t>Bottegas</w:t>
      </w:r>
      <w:proofErr w:type="spellEnd"/>
      <w:r w:rsidR="00556F74">
        <w:t xml:space="preserve"> neuer Chefdesigner. Unter ihm wurden wieder alle Logos auf den Produkten entfernt</w:t>
      </w:r>
      <w:r w:rsidR="00C0540A">
        <w:t xml:space="preserve"> und </w:t>
      </w:r>
      <w:r w:rsidR="004130F0">
        <w:t xml:space="preserve">rückte wieder das </w:t>
      </w:r>
      <w:proofErr w:type="spellStart"/>
      <w:r w:rsidR="004130F0" w:rsidRPr="00A73A1B">
        <w:t>Intrecciato</w:t>
      </w:r>
      <w:proofErr w:type="spellEnd"/>
      <w:r w:rsidR="00C9170F">
        <w:t xml:space="preserve"> und die Qualität der Produkte</w:t>
      </w:r>
      <w:r w:rsidR="004130F0">
        <w:t xml:space="preserve"> ins Zentrum der Markenidentität.</w:t>
      </w:r>
      <w:r w:rsidR="00EB383E">
        <w:t xml:space="preserve"> </w:t>
      </w:r>
      <w:r w:rsidR="00C22063">
        <w:t>2005 stellte Maier seine erste „Ready-</w:t>
      </w:r>
      <w:proofErr w:type="spellStart"/>
      <w:r w:rsidR="00C22063">
        <w:t>to</w:t>
      </w:r>
      <w:proofErr w:type="spellEnd"/>
      <w:r w:rsidR="00C22063">
        <w:t xml:space="preserve">-Fashion“ Kollektion für Damen vor. </w:t>
      </w:r>
      <w:r w:rsidR="007717FB">
        <w:t>Später weitete Maier da</w:t>
      </w:r>
      <w:r w:rsidR="009E75CE">
        <w:t xml:space="preserve">s Produktsortiment aus </w:t>
      </w:r>
      <w:r w:rsidR="0051799D">
        <w:t xml:space="preserve">und es entstanden Schmuckkollektionen </w:t>
      </w:r>
      <w:r w:rsidR="00C22063">
        <w:t>sowie</w:t>
      </w:r>
      <w:r w:rsidR="00665F0F">
        <w:t xml:space="preserve"> Innenarchitektur und Möbeldesign.</w:t>
      </w:r>
      <w:r w:rsidR="003A3060">
        <w:t xml:space="preserve"> 2011 kam </w:t>
      </w:r>
      <w:proofErr w:type="spellStart"/>
      <w:r w:rsidR="003A3060">
        <w:t>Bottegas</w:t>
      </w:r>
      <w:proofErr w:type="spellEnd"/>
      <w:r w:rsidR="003A3060">
        <w:t xml:space="preserve"> erstes Parfüm auf den Markt.</w:t>
      </w:r>
      <w:r w:rsidR="002D2E9B">
        <w:t xml:space="preserve"> Tomas Maier verließ das Unternehmen 2018. </w:t>
      </w:r>
      <w:r w:rsidR="00827000">
        <w:t xml:space="preserve">Im folgte </w:t>
      </w:r>
      <w:r w:rsidR="002D2E9B">
        <w:t xml:space="preserve">der </w:t>
      </w:r>
      <w:proofErr w:type="spellStart"/>
      <w:r w:rsidR="007321B2">
        <w:t>Britte</w:t>
      </w:r>
      <w:proofErr w:type="spellEnd"/>
      <w:r w:rsidR="007321B2">
        <w:t xml:space="preserve"> Daniel Lee (vorher Design-</w:t>
      </w:r>
      <w:proofErr w:type="spellStart"/>
      <w:r w:rsidR="007321B2">
        <w:t>Director</w:t>
      </w:r>
      <w:proofErr w:type="spellEnd"/>
      <w:r w:rsidR="007321B2">
        <w:t xml:space="preserve"> bei Celine)</w:t>
      </w:r>
      <w:r w:rsidR="00FB39FE">
        <w:t xml:space="preserve">, dieser verließ das Unternehmen </w:t>
      </w:r>
      <w:r w:rsidR="0020064D">
        <w:t>jedoch 20</w:t>
      </w:r>
      <w:r w:rsidR="00B6425C">
        <w:t xml:space="preserve">21 schon wieder, obwohl </w:t>
      </w:r>
      <w:r w:rsidR="00A130C9">
        <w:t xml:space="preserve">Bottega unter Lee starkes Wachstum verzeichnete. </w:t>
      </w:r>
      <w:r w:rsidR="00E403F2">
        <w:t>Sein</w:t>
      </w:r>
      <w:r w:rsidR="001D4ED8">
        <w:t xml:space="preserve"> Nachfolger und aktueller Creative </w:t>
      </w:r>
      <w:proofErr w:type="spellStart"/>
      <w:r w:rsidR="001D4ED8">
        <w:t>Directror</w:t>
      </w:r>
      <w:proofErr w:type="spellEnd"/>
      <w:r w:rsidR="001D4ED8">
        <w:t xml:space="preserve"> ist der </w:t>
      </w:r>
      <w:r w:rsidR="001D4ED8" w:rsidRPr="001D4ED8">
        <w:t>Franzose Matthieu Blazy.</w:t>
      </w:r>
      <w:r w:rsidR="0067442E">
        <w:t xml:space="preserve"> Geschäftsführer von Bottega </w:t>
      </w:r>
      <w:proofErr w:type="spellStart"/>
      <w:r w:rsidR="0067442E">
        <w:t>Veneta</w:t>
      </w:r>
      <w:proofErr w:type="spellEnd"/>
      <w:r w:rsidR="0067442E">
        <w:t xml:space="preserve"> ist seit 2019</w:t>
      </w:r>
      <w:r w:rsidR="00827000">
        <w:t xml:space="preserve"> </w:t>
      </w:r>
      <w:r w:rsidR="00827000" w:rsidRPr="00827000">
        <w:t xml:space="preserve">Bartolomeo </w:t>
      </w:r>
      <w:proofErr w:type="spellStart"/>
      <w:r w:rsidR="00827000" w:rsidRPr="00827000">
        <w:t>Rongone</w:t>
      </w:r>
      <w:proofErr w:type="spellEnd"/>
      <w:r w:rsidR="00827000">
        <w:t>.</w:t>
      </w:r>
    </w:p>
    <w:p w14:paraId="39BE65C6" w14:textId="63E89D76" w:rsidR="00FE50C8" w:rsidRDefault="00A51EAB">
      <w:r>
        <w:t xml:space="preserve">Bottega </w:t>
      </w:r>
      <w:proofErr w:type="spellStart"/>
      <w:r>
        <w:t>Veneta</w:t>
      </w:r>
      <w:proofErr w:type="spellEnd"/>
      <w:r>
        <w:t xml:space="preserve"> erzielte im Fiskaljahr 2022 </w:t>
      </w:r>
      <w:r w:rsidR="003C1D59">
        <w:t xml:space="preserve">einen </w:t>
      </w:r>
      <w:r w:rsidR="00092794">
        <w:t>Umsatz von 1,74 Milliarden Euro.</w:t>
      </w:r>
      <w:r w:rsidR="000361A7">
        <w:t xml:space="preserve"> Dies entspricht einem Anteil von </w:t>
      </w:r>
      <w:r w:rsidR="00793258">
        <w:t>ca. 9%</w:t>
      </w:r>
      <w:r w:rsidR="0005713B">
        <w:t xml:space="preserve"> am Konzern-Umsatz. </w:t>
      </w:r>
      <w:r w:rsidR="009D3CEC">
        <w:t>78% der Umsatze wurden durch eigene Läden und Online-Shops generiert</w:t>
      </w:r>
      <w:r w:rsidR="004B4AE1">
        <w:t xml:space="preserve"> und dem</w:t>
      </w:r>
      <w:r w:rsidR="00226270">
        <w:t xml:space="preserve">entsprechend 22% durch den Großhandel. </w:t>
      </w:r>
      <w:r w:rsidR="00237971">
        <w:t xml:space="preserve">In den letzten Jahren konnte </w:t>
      </w:r>
      <w:r w:rsidR="002D405F">
        <w:t xml:space="preserve">Bottega ein gutes Wachstum verzeichnen, welches auf die </w:t>
      </w:r>
      <w:r w:rsidR="00E406D5">
        <w:t>Implementierung einer neuen Markenstrategie zurückzuführen ist. Bottega möchte den Kundenstamm verjüngen un</w:t>
      </w:r>
      <w:r w:rsidR="007E6C02">
        <w:t xml:space="preserve">d erweitern und so die Markenpräsenz erhöhen. </w:t>
      </w:r>
      <w:r w:rsidR="00722122">
        <w:t xml:space="preserve">Die mit Abstand am </w:t>
      </w:r>
      <w:r w:rsidR="00B96EEC">
        <w:t>bedeutendste Produktlinie ist für Bot</w:t>
      </w:r>
      <w:r w:rsidR="00BE1FB9">
        <w:t xml:space="preserve">tega </w:t>
      </w:r>
      <w:r w:rsidR="00092794">
        <w:t xml:space="preserve"> </w:t>
      </w:r>
      <w:r w:rsidR="00BE1FB9">
        <w:t xml:space="preserve">ebenfalls die Lederware, welche rund 75% des Umsatzes generiert. Anschließend folgen Schuhe mit 14% und Ready </w:t>
      </w:r>
      <w:proofErr w:type="spellStart"/>
      <w:r w:rsidR="00BE1FB9">
        <w:t>to</w:t>
      </w:r>
      <w:proofErr w:type="spellEnd"/>
      <w:r w:rsidR="00BE1FB9">
        <w:t xml:space="preserve"> </w:t>
      </w:r>
      <w:proofErr w:type="spellStart"/>
      <w:r w:rsidR="00BE1FB9">
        <w:t>Wear</w:t>
      </w:r>
      <w:proofErr w:type="spellEnd"/>
      <w:r w:rsidR="00BE1FB9">
        <w:t xml:space="preserve"> Fashion mit 9% Anteil am Umsatz.</w:t>
      </w:r>
      <w:r w:rsidR="002D4D75">
        <w:t xml:space="preserve"> Weltweit </w:t>
      </w:r>
      <w:r w:rsidR="00D729B9">
        <w:t xml:space="preserve">betreibt Bottega </w:t>
      </w:r>
      <w:proofErr w:type="spellStart"/>
      <w:r w:rsidR="00D729B9">
        <w:t>Veneta</w:t>
      </w:r>
      <w:proofErr w:type="spellEnd"/>
      <w:r w:rsidR="00D729B9">
        <w:t xml:space="preserve"> ein Netzwerk aus </w:t>
      </w:r>
      <w:r w:rsidR="009705DC">
        <w:t>271 Läden.</w:t>
      </w:r>
      <w:r w:rsidR="000F2B4D">
        <w:t xml:space="preserve"> Hier liegt der Fokus der Markenstra</w:t>
      </w:r>
      <w:r w:rsidR="00AF1B5F">
        <w:t xml:space="preserve">tegie auf die </w:t>
      </w:r>
      <w:proofErr w:type="spellStart"/>
      <w:r w:rsidR="00911239" w:rsidRPr="00911239">
        <w:t>Relokalisierung</w:t>
      </w:r>
      <w:proofErr w:type="spellEnd"/>
      <w:r w:rsidR="00911239">
        <w:t xml:space="preserve"> </w:t>
      </w:r>
      <w:r w:rsidR="00F36D8D">
        <w:t>und Ren</w:t>
      </w:r>
      <w:r w:rsidR="001A3DC3">
        <w:t xml:space="preserve">ovierung schon bestehender Läden und </w:t>
      </w:r>
      <w:r w:rsidR="001A3DC3" w:rsidRPr="001A3DC3">
        <w:t>nicht</w:t>
      </w:r>
      <w:r w:rsidR="00D40812">
        <w:t xml:space="preserve"> auf der Expansion und Eröffnung neuer Läden.</w:t>
      </w:r>
      <w:r w:rsidR="001049C9">
        <w:t xml:space="preserve"> </w:t>
      </w:r>
      <w:r w:rsidR="008A0B2F">
        <w:t xml:space="preserve">Die operativen Investments beliefen sich auf 92 Millionen Euro. </w:t>
      </w:r>
      <w:r w:rsidR="00D541F5">
        <w:t xml:space="preserve">2022 erzielte </w:t>
      </w:r>
      <w:r w:rsidR="00C35FFE">
        <w:t xml:space="preserve">Bottega </w:t>
      </w:r>
      <w:proofErr w:type="spellStart"/>
      <w:r w:rsidR="00C35FFE">
        <w:t>Veneta</w:t>
      </w:r>
      <w:proofErr w:type="spellEnd"/>
      <w:r w:rsidR="00C35FFE">
        <w:t xml:space="preserve"> einen operativen Gewinn von 366 Millionen Euro. Dies entspricht einer operativen Marge von 21%.</w:t>
      </w:r>
    </w:p>
    <w:p w14:paraId="61FB64F7" w14:textId="639D069C" w:rsidR="00CE05BC" w:rsidRDefault="00CE05BC" w:rsidP="00F048A0"/>
    <w:p w14:paraId="4BBDCAB3" w14:textId="5E403783" w:rsidR="00F048A0" w:rsidRDefault="00F048A0" w:rsidP="00F048A0">
      <w:pPr>
        <w:rPr>
          <w:b/>
        </w:rPr>
      </w:pPr>
      <w:r w:rsidRPr="00F048A0">
        <w:rPr>
          <w:b/>
        </w:rPr>
        <w:t>Andere Häuser</w:t>
      </w:r>
    </w:p>
    <w:p w14:paraId="251DA75F" w14:textId="77777777" w:rsidR="003A1AA8" w:rsidRDefault="00695794" w:rsidP="00F048A0">
      <w:r>
        <w:t xml:space="preserve">Das Segment </w:t>
      </w:r>
      <w:r w:rsidR="007B6709">
        <w:t>„andere Häuser“ umfasst die Häuser</w:t>
      </w:r>
      <w:r w:rsidR="002631BF">
        <w:t xml:space="preserve"> </w:t>
      </w:r>
      <w:r w:rsidR="007B6709">
        <w:t>Balenciaga, Alexander McQueen, Brioni</w:t>
      </w:r>
      <w:r w:rsidR="002631BF">
        <w:t xml:space="preserve"> (</w:t>
      </w:r>
      <w:r w:rsidR="00E2311A">
        <w:t xml:space="preserve">Segment Ready </w:t>
      </w:r>
      <w:proofErr w:type="spellStart"/>
      <w:r w:rsidR="00E2311A">
        <w:t>to</w:t>
      </w:r>
      <w:proofErr w:type="spellEnd"/>
      <w:r w:rsidR="00E2311A">
        <w:t xml:space="preserve"> </w:t>
      </w:r>
      <w:proofErr w:type="spellStart"/>
      <w:r w:rsidR="00E2311A">
        <w:t>Wear</w:t>
      </w:r>
      <w:proofErr w:type="spellEnd"/>
      <w:r w:rsidR="00E2311A">
        <w:t xml:space="preserve"> </w:t>
      </w:r>
      <w:r w:rsidR="002631BF">
        <w:t>Fashion und Lederware)</w:t>
      </w:r>
      <w:r w:rsidR="001F4129">
        <w:t xml:space="preserve"> sowie </w:t>
      </w:r>
      <w:proofErr w:type="spellStart"/>
      <w:r w:rsidR="001F4129">
        <w:t>Boucheron</w:t>
      </w:r>
      <w:proofErr w:type="spellEnd"/>
      <w:r w:rsidR="001F4129">
        <w:t xml:space="preserve">, </w:t>
      </w:r>
      <w:proofErr w:type="spellStart"/>
      <w:r w:rsidR="001F4129">
        <w:t>Pomellato</w:t>
      </w:r>
      <w:proofErr w:type="spellEnd"/>
      <w:r w:rsidR="001F4129">
        <w:t xml:space="preserve">, Dodo, </w:t>
      </w:r>
      <w:proofErr w:type="spellStart"/>
      <w:r w:rsidR="001F4129">
        <w:t>Queelin</w:t>
      </w:r>
      <w:proofErr w:type="spellEnd"/>
      <w:r w:rsidR="001F4129">
        <w:t xml:space="preserve"> (</w:t>
      </w:r>
      <w:r w:rsidR="00E2311A">
        <w:t>Segment Schmuck)</w:t>
      </w:r>
      <w:r w:rsidR="00A17597">
        <w:t xml:space="preserve"> und Kering Beaut</w:t>
      </w:r>
      <w:r w:rsidR="00206FD2">
        <w:t>é</w:t>
      </w:r>
      <w:r w:rsidR="00E2311A">
        <w:t>.</w:t>
      </w:r>
      <w:r w:rsidR="00057E66">
        <w:t xml:space="preserve"> </w:t>
      </w:r>
    </w:p>
    <w:p w14:paraId="156D490F" w14:textId="41E5CCA4" w:rsidR="003A1AA8" w:rsidRDefault="000C68E6" w:rsidP="00F048A0">
      <w:r>
        <w:t>Balenciaga ist spanisches Modehaus, welches 1919 von</w:t>
      </w:r>
      <w:r w:rsidR="0019148A">
        <w:t xml:space="preserve"> dem Modedesigner</w:t>
      </w:r>
      <w:r>
        <w:t xml:space="preserve"> Crist</w:t>
      </w:r>
      <w:r w:rsidR="0019148A">
        <w:t>ó</w:t>
      </w:r>
      <w:r>
        <w:t>bal Balenciaga in San Sebastian gegründet wurde.</w:t>
      </w:r>
      <w:r w:rsidR="002353D9">
        <w:t xml:space="preserve"> Balenciaga ist bekannt für seine </w:t>
      </w:r>
      <w:r w:rsidR="0050430A">
        <w:t>avantgardistische Mode</w:t>
      </w:r>
      <w:r w:rsidR="0050504B">
        <w:t>ästhetik</w:t>
      </w:r>
      <w:r w:rsidR="000652DA">
        <w:t xml:space="preserve">, da es </w:t>
      </w:r>
      <w:r w:rsidR="0050504B">
        <w:t xml:space="preserve">häufig </w:t>
      </w:r>
      <w:r w:rsidR="00473994">
        <w:t>futuris</w:t>
      </w:r>
      <w:r w:rsidR="000652DA">
        <w:t>tis</w:t>
      </w:r>
      <w:r w:rsidR="00473994">
        <w:t>ch</w:t>
      </w:r>
      <w:r w:rsidR="000652DA">
        <w:t xml:space="preserve">e Elemente, überdimensionierte </w:t>
      </w:r>
      <w:r w:rsidR="00C17430">
        <w:t xml:space="preserve">Silhouetten sowie </w:t>
      </w:r>
      <w:r w:rsidR="006519ED">
        <w:t>unkonventionelle Proportionen aufgreift.</w:t>
      </w:r>
      <w:r w:rsidR="00B91D8C">
        <w:t xml:space="preserve"> Seit 2015 ist </w:t>
      </w:r>
      <w:proofErr w:type="spellStart"/>
      <w:r w:rsidR="00CF1C7F">
        <w:t>Demna</w:t>
      </w:r>
      <w:proofErr w:type="spellEnd"/>
      <w:r w:rsidR="00CF1C7F">
        <w:t xml:space="preserve"> </w:t>
      </w:r>
      <w:proofErr w:type="spellStart"/>
      <w:r w:rsidR="00CF1C7F">
        <w:t>Gvasalia</w:t>
      </w:r>
      <w:proofErr w:type="spellEnd"/>
      <w:r w:rsidR="00CF1C7F">
        <w:t xml:space="preserve"> Creative </w:t>
      </w:r>
      <w:proofErr w:type="spellStart"/>
      <w:r w:rsidR="00CF1C7F">
        <w:t>Director</w:t>
      </w:r>
      <w:proofErr w:type="spellEnd"/>
      <w:r w:rsidR="00CF1C7F">
        <w:t xml:space="preserve"> der Marke.</w:t>
      </w:r>
      <w:r w:rsidR="00096AE6">
        <w:t xml:space="preserve"> Ihm gelang ist die Marke zu modernisieren und</w:t>
      </w:r>
      <w:r w:rsidR="00495CB4">
        <w:t xml:space="preserve"> mit modernen Modetrends in Einklang zu bringen. </w:t>
      </w:r>
      <w:r w:rsidR="00791477">
        <w:t xml:space="preserve">Geschäftsführer ist </w:t>
      </w:r>
      <w:r w:rsidR="00791477" w:rsidRPr="00791477">
        <w:t xml:space="preserve">Cédric </w:t>
      </w:r>
      <w:proofErr w:type="spellStart"/>
      <w:r w:rsidR="00791477" w:rsidRPr="00791477">
        <w:t>Charbit</w:t>
      </w:r>
      <w:proofErr w:type="spellEnd"/>
      <w:r w:rsidR="00791477">
        <w:t>.</w:t>
      </w:r>
    </w:p>
    <w:p w14:paraId="2190C183" w14:textId="2F7A0659" w:rsidR="003A1AA8" w:rsidRDefault="00A906FB" w:rsidP="00F048A0">
      <w:r>
        <w:t>Das Modehaus Alexander McQueen wurde 1992 von dem gleichnamigen Modedesigner in London gegründet.</w:t>
      </w:r>
      <w:r w:rsidR="00DD2DFD">
        <w:t xml:space="preserve"> Alexander McQueen gilt als </w:t>
      </w:r>
      <w:r w:rsidR="0026746B">
        <w:t xml:space="preserve">einer renommiertesten Modedesigner seiner Zeit. </w:t>
      </w:r>
      <w:r w:rsidR="001F510C">
        <w:t>Die Modeästhetik ist geprägt von</w:t>
      </w:r>
      <w:r w:rsidR="00C47F78">
        <w:t xml:space="preserve"> einer Spannung zwischen Rebellion und</w:t>
      </w:r>
      <w:r w:rsidR="00645356">
        <w:t xml:space="preserve"> Romantik. </w:t>
      </w:r>
      <w:r w:rsidR="00744346">
        <w:t xml:space="preserve">Die Marke ist bekannt für düstere Motive (Häufig Totenkopf-Motive) </w:t>
      </w:r>
      <w:r w:rsidR="008C4F86">
        <w:t>sowie für gute handwerkliche Qualität.</w:t>
      </w:r>
      <w:r w:rsidR="00925307">
        <w:t xml:space="preserve"> Nach McQueens Tod im Jahr 2010 wurde </w:t>
      </w:r>
      <w:r w:rsidR="00F022A5">
        <w:t xml:space="preserve">Sarah Burton Alexander McQueens neue </w:t>
      </w:r>
      <w:r w:rsidR="00DD7A30">
        <w:t xml:space="preserve">Chefdesignerin. </w:t>
      </w:r>
      <w:r w:rsidR="002F35B2">
        <w:t xml:space="preserve">Seit 2016 ist </w:t>
      </w:r>
      <w:r w:rsidR="009B732E" w:rsidRPr="009B732E">
        <w:t xml:space="preserve">Jonathan </w:t>
      </w:r>
      <w:proofErr w:type="spellStart"/>
      <w:r w:rsidR="009B732E" w:rsidRPr="009B732E">
        <w:t>Akeroyd</w:t>
      </w:r>
      <w:proofErr w:type="spellEnd"/>
      <w:r w:rsidR="009B732E">
        <w:t xml:space="preserve"> Geschäft</w:t>
      </w:r>
      <w:r w:rsidR="00F1327E">
        <w:t>s</w:t>
      </w:r>
      <w:r w:rsidR="009B732E">
        <w:t>führer des</w:t>
      </w:r>
      <w:r w:rsidR="00F1327E">
        <w:t xml:space="preserve"> Unternehmens </w:t>
      </w:r>
    </w:p>
    <w:p w14:paraId="7C5CB327" w14:textId="159CDDB6" w:rsidR="003A1AA8" w:rsidRDefault="00332B9E" w:rsidP="00F048A0">
      <w:proofErr w:type="spellStart"/>
      <w:r w:rsidRPr="00BB4BD1">
        <w:t>Boucheron</w:t>
      </w:r>
      <w:proofErr w:type="spellEnd"/>
      <w:r w:rsidRPr="00BB4BD1">
        <w:t xml:space="preserve">, </w:t>
      </w:r>
      <w:proofErr w:type="spellStart"/>
      <w:r w:rsidRPr="00BB4BD1">
        <w:t>Pomellato</w:t>
      </w:r>
      <w:proofErr w:type="spellEnd"/>
      <w:r w:rsidRPr="00BB4BD1">
        <w:t xml:space="preserve">, Dodo und </w:t>
      </w:r>
      <w:proofErr w:type="spellStart"/>
      <w:r w:rsidRPr="00BB4BD1">
        <w:t>Queelin</w:t>
      </w:r>
      <w:proofErr w:type="spellEnd"/>
      <w:r w:rsidR="00BB4BD1" w:rsidRPr="00BB4BD1">
        <w:t xml:space="preserve"> sind renommierte Sch</w:t>
      </w:r>
      <w:r w:rsidR="00BB4BD1">
        <w:t>muckmarken.</w:t>
      </w:r>
      <w:r w:rsidR="00FD4DC1">
        <w:t xml:space="preserve"> </w:t>
      </w:r>
      <w:proofErr w:type="spellStart"/>
      <w:r w:rsidR="005F5C1E" w:rsidRPr="00BB4BD1">
        <w:t>Boucheron</w:t>
      </w:r>
      <w:proofErr w:type="spellEnd"/>
      <w:r w:rsidR="005F5C1E">
        <w:t xml:space="preserve"> ist eine französische Schmuckmarke, die </w:t>
      </w:r>
      <w:r w:rsidR="00886F6A" w:rsidRPr="00886F6A">
        <w:t xml:space="preserve">1858 von Frédéric </w:t>
      </w:r>
      <w:proofErr w:type="spellStart"/>
      <w:r w:rsidR="00886F6A" w:rsidRPr="00886F6A">
        <w:t>Boucheron</w:t>
      </w:r>
      <w:proofErr w:type="spellEnd"/>
      <w:r w:rsidR="00886F6A" w:rsidRPr="00886F6A">
        <w:t xml:space="preserve"> in Paris gegründet wurde</w:t>
      </w:r>
      <w:r w:rsidR="00886F6A">
        <w:t xml:space="preserve">. </w:t>
      </w:r>
      <w:proofErr w:type="spellStart"/>
      <w:r w:rsidR="00693F1D">
        <w:t>Boucheron</w:t>
      </w:r>
      <w:proofErr w:type="spellEnd"/>
      <w:r w:rsidR="00693F1D">
        <w:t xml:space="preserve"> ist u.a. für seine ikonischen </w:t>
      </w:r>
      <w:r w:rsidR="00693F1D" w:rsidRPr="00693F1D">
        <w:t>Serpent-Designs</w:t>
      </w:r>
      <w:r w:rsidR="00693F1D">
        <w:t xml:space="preserve"> bekannt. </w:t>
      </w:r>
      <w:proofErr w:type="spellStart"/>
      <w:r w:rsidR="00F375F2" w:rsidRPr="00BB4BD1">
        <w:t>Pomellato</w:t>
      </w:r>
      <w:proofErr w:type="spellEnd"/>
      <w:r w:rsidR="00F375F2">
        <w:t xml:space="preserve"> wurde </w:t>
      </w:r>
      <w:r w:rsidR="0012394F">
        <w:t xml:space="preserve">1967 in Mailand gegründet. </w:t>
      </w:r>
      <w:r w:rsidR="0012394F" w:rsidRPr="0012394F">
        <w:t>Die Marke ist bekannt für ihre farbenfrohen Edelsteinbesetzungen</w:t>
      </w:r>
      <w:r w:rsidR="00F81484">
        <w:t xml:space="preserve">. </w:t>
      </w:r>
      <w:r w:rsidR="00135C6D">
        <w:t xml:space="preserve">Dodo gehört zu </w:t>
      </w:r>
      <w:proofErr w:type="spellStart"/>
      <w:r w:rsidR="00135C6D">
        <w:t>Pomellato</w:t>
      </w:r>
      <w:proofErr w:type="spellEnd"/>
      <w:r w:rsidR="00135C6D">
        <w:t xml:space="preserve">. </w:t>
      </w:r>
      <w:r w:rsidR="00135C6D" w:rsidRPr="00135C6D">
        <w:t>Dodos Schmuckkollektionen zeichnen sich durch Tiermotive und minimalistisches Design aus.</w:t>
      </w:r>
      <w:r w:rsidR="005E6371">
        <w:t xml:space="preserve"> Dodo ist eine Hommage an den</w:t>
      </w:r>
      <w:r w:rsidR="00297F44">
        <w:t xml:space="preserve"> ausgestorbenen Vogel Dodo.</w:t>
      </w:r>
      <w:r w:rsidR="00096211">
        <w:t xml:space="preserve"> </w:t>
      </w:r>
      <w:proofErr w:type="spellStart"/>
      <w:r w:rsidR="00096211">
        <w:t>Qu</w:t>
      </w:r>
      <w:r w:rsidR="004D7A4E">
        <w:t>eelin</w:t>
      </w:r>
      <w:proofErr w:type="spellEnd"/>
      <w:r w:rsidR="004D7A4E">
        <w:t xml:space="preserve"> hat seinen Ursprung in Hongkong und wurde 2004 gegründet.</w:t>
      </w:r>
      <w:r w:rsidR="00297F44">
        <w:t xml:space="preserve"> </w:t>
      </w:r>
      <w:r w:rsidR="00EA05CE" w:rsidRPr="00EA05CE">
        <w:t>Die Marke kombiniert chinesische Kultur mit modernem Design</w:t>
      </w:r>
      <w:r w:rsidR="002E3163">
        <w:t>s.</w:t>
      </w:r>
    </w:p>
    <w:p w14:paraId="2D1984FD" w14:textId="77777777" w:rsidR="00631828" w:rsidRDefault="009965D8" w:rsidP="00091934">
      <w:pPr>
        <w:spacing w:after="0"/>
        <w:ind w:left="708" w:hanging="708"/>
      </w:pPr>
      <w:r>
        <w:t xml:space="preserve">Kering </w:t>
      </w:r>
      <w:proofErr w:type="spellStart"/>
      <w:r>
        <w:t>Beatu</w:t>
      </w:r>
      <w:r w:rsidR="00590B13">
        <w:t>é</w:t>
      </w:r>
      <w:proofErr w:type="spellEnd"/>
      <w:r w:rsidR="00590B13">
        <w:t xml:space="preserve"> wurde 2023</w:t>
      </w:r>
      <w:r w:rsidR="0073558F">
        <w:t xml:space="preserve"> gegründet</w:t>
      </w:r>
      <w:r w:rsidR="00631828">
        <w:t xml:space="preserve">, um sicherzustellen, dass </w:t>
      </w:r>
      <w:r w:rsidR="00631828" w:rsidRPr="00631828">
        <w:t xml:space="preserve">Bottega </w:t>
      </w:r>
      <w:proofErr w:type="spellStart"/>
      <w:r w:rsidR="00631828" w:rsidRPr="00631828">
        <w:t>Veneta</w:t>
      </w:r>
      <w:proofErr w:type="spellEnd"/>
      <w:r w:rsidR="00631828" w:rsidRPr="00631828">
        <w:t>, Balenciaga</w:t>
      </w:r>
    </w:p>
    <w:p w14:paraId="5B3B96AB" w14:textId="444B6B21" w:rsidR="001A0C43" w:rsidRDefault="00631828" w:rsidP="00091934">
      <w:pPr>
        <w:spacing w:after="0"/>
        <w:ind w:left="708" w:hanging="708"/>
      </w:pPr>
      <w:r w:rsidRPr="00631828">
        <w:t>Alexander</w:t>
      </w:r>
      <w:r w:rsidR="00091934">
        <w:t xml:space="preserve"> </w:t>
      </w:r>
      <w:r w:rsidRPr="00631828">
        <w:t xml:space="preserve">McQueen, </w:t>
      </w:r>
      <w:proofErr w:type="spellStart"/>
      <w:r w:rsidRPr="00631828">
        <w:t>Pomellato</w:t>
      </w:r>
      <w:proofErr w:type="spellEnd"/>
      <w:r w:rsidRPr="00631828">
        <w:t xml:space="preserve"> </w:t>
      </w:r>
      <w:r w:rsidR="00CB16AA">
        <w:t>u</w:t>
      </w:r>
      <w:r w:rsidRPr="00631828">
        <w:t xml:space="preserve">nd </w:t>
      </w:r>
      <w:proofErr w:type="spellStart"/>
      <w:r w:rsidRPr="00631828">
        <w:t>Qeelin</w:t>
      </w:r>
      <w:proofErr w:type="spellEnd"/>
      <w:r w:rsidR="00CB16AA">
        <w:t xml:space="preserve"> </w:t>
      </w:r>
      <w:r w:rsidR="001A0C43">
        <w:t>zu unterstützen, ihr volles Potential im Kosmetiksegment</w:t>
      </w:r>
    </w:p>
    <w:p w14:paraId="527C3375" w14:textId="5035E9B1" w:rsidR="00404FD8" w:rsidRDefault="001A0C43" w:rsidP="00404FD8">
      <w:pPr>
        <w:spacing w:after="0"/>
        <w:ind w:left="708" w:hanging="708"/>
      </w:pPr>
      <w:r>
        <w:t xml:space="preserve">auszuschöpfen. </w:t>
      </w:r>
      <w:r w:rsidR="00937422">
        <w:t xml:space="preserve">Zudem akquirierte </w:t>
      </w:r>
      <w:r w:rsidR="009B55A4">
        <w:t xml:space="preserve">Kering Beauté den Parfümhersteller </w:t>
      </w:r>
      <w:r w:rsidR="004C4AC8">
        <w:t>Creed, welcher</w:t>
      </w:r>
      <w:r w:rsidR="00404FD8">
        <w:t xml:space="preserve"> 1760</w:t>
      </w:r>
    </w:p>
    <w:p w14:paraId="5542D46C" w14:textId="01C84E30" w:rsidR="00590B13" w:rsidRDefault="004C4AC8" w:rsidP="00404FD8">
      <w:pPr>
        <w:spacing w:after="0"/>
        <w:ind w:left="708" w:hanging="708"/>
      </w:pPr>
      <w:r>
        <w:t>gegründet wurde.</w:t>
      </w:r>
      <w:r w:rsidR="00371BC5">
        <w:t xml:space="preserve"> </w:t>
      </w:r>
      <w:r w:rsidR="0011240C">
        <w:t xml:space="preserve">Geschäftsführerin ist </w:t>
      </w:r>
      <w:r w:rsidR="0025004B" w:rsidRPr="0025004B">
        <w:t xml:space="preserve">Raffaella </w:t>
      </w:r>
      <w:proofErr w:type="spellStart"/>
      <w:r w:rsidR="0025004B" w:rsidRPr="0025004B">
        <w:t>Cornaggia</w:t>
      </w:r>
      <w:proofErr w:type="spellEnd"/>
      <w:r w:rsidR="006F40FA">
        <w:t>.</w:t>
      </w:r>
    </w:p>
    <w:p w14:paraId="51993E37" w14:textId="77777777" w:rsidR="00CB16AA" w:rsidRPr="00BB4BD1" w:rsidRDefault="00CB16AA" w:rsidP="00CB16AA">
      <w:pPr>
        <w:spacing w:after="0"/>
        <w:ind w:left="708" w:hanging="708"/>
      </w:pPr>
    </w:p>
    <w:p w14:paraId="5508D1E2" w14:textId="45E1E4B2" w:rsidR="00B57AA3" w:rsidRPr="00F048A0" w:rsidRDefault="005377FE" w:rsidP="00F048A0">
      <w:pPr>
        <w:rPr>
          <w:b/>
        </w:rPr>
      </w:pPr>
      <w:r>
        <w:t>Diese Häuer generieten ein Umsatz</w:t>
      </w:r>
      <w:r w:rsidR="00DC6E41">
        <w:t xml:space="preserve"> von 3,</w:t>
      </w:r>
      <w:r w:rsidR="002E3163">
        <w:t>874 Milliarden Euro</w:t>
      </w:r>
      <w:r w:rsidR="00206FD2">
        <w:t xml:space="preserve"> im Fiskaljahr 2022 und steuerten somit </w:t>
      </w:r>
      <w:r w:rsidR="00F5664C">
        <w:t xml:space="preserve">18% des Konzernumsatzes bei. </w:t>
      </w:r>
      <w:r w:rsidR="002772E4">
        <w:t>Der Umsatz setzt</w:t>
      </w:r>
      <w:r w:rsidR="009B26FE">
        <w:t>e</w:t>
      </w:r>
      <w:r w:rsidR="002772E4">
        <w:t xml:space="preserve"> sich </w:t>
      </w:r>
      <w:r w:rsidR="00ED6F0B">
        <w:t xml:space="preserve">zu 66% aus Erlösen aus eigenen </w:t>
      </w:r>
      <w:r w:rsidR="009B26FE">
        <w:t xml:space="preserve">Läden und zu 34% aus Erlösen aus dem Großhandel zusammen. </w:t>
      </w:r>
      <w:r w:rsidR="00CD511D">
        <w:t>Die wichtigste Produktlinie sind Schuh mit einem Umsatzanteil von ca. 30%</w:t>
      </w:r>
      <w:r w:rsidR="007F684C">
        <w:t xml:space="preserve">. Danach folgt Ready </w:t>
      </w:r>
      <w:proofErr w:type="spellStart"/>
      <w:r w:rsidR="000734B7">
        <w:t>to</w:t>
      </w:r>
      <w:proofErr w:type="spellEnd"/>
      <w:r w:rsidR="000734B7">
        <w:t xml:space="preserve"> </w:t>
      </w:r>
      <w:proofErr w:type="spellStart"/>
      <w:r w:rsidR="000734B7">
        <w:t>Wear</w:t>
      </w:r>
      <w:proofErr w:type="spellEnd"/>
      <w:r w:rsidR="000734B7">
        <w:t xml:space="preserve"> Fashion mit einem Umsatz Anteil von 24%</w:t>
      </w:r>
      <w:r w:rsidR="00590B5F">
        <w:t>. Lederware und Sc</w:t>
      </w:r>
      <w:r w:rsidR="00FF2776">
        <w:t>hmuck und weitere Accessoires machen jeweils 21% des Umsatzes aus.</w:t>
      </w:r>
      <w:r w:rsidR="0064246B">
        <w:t xml:space="preserve"> Zusammen genommen betreiben die anderen Häuser 580 Läden weltweit.</w:t>
      </w:r>
      <w:r w:rsidR="004D057B">
        <w:t xml:space="preserve"> </w:t>
      </w:r>
      <w:r w:rsidR="000B297F">
        <w:t xml:space="preserve">53 Läden davon </w:t>
      </w:r>
      <w:r w:rsidR="00524DD4">
        <w:t xml:space="preserve">wurden 2022 eröffnet. </w:t>
      </w:r>
      <w:r w:rsidR="001D7956">
        <w:t xml:space="preserve">Aufgrund der vielen Neueröffnungen </w:t>
      </w:r>
      <w:r w:rsidR="003806B2">
        <w:t>erfuhren</w:t>
      </w:r>
      <w:r w:rsidR="001D7956">
        <w:t xml:space="preserve"> die operativen Investments </w:t>
      </w:r>
      <w:r w:rsidR="003806B2">
        <w:t xml:space="preserve">einen starken Anstieg und beliefen </w:t>
      </w:r>
      <w:r w:rsidR="00D33516">
        <w:t>sich auf 221 Millionen Euro</w:t>
      </w:r>
      <w:r w:rsidR="00EA5D78">
        <w:t xml:space="preserve"> (Anstieg von 41 Millionen). </w:t>
      </w:r>
      <w:r w:rsidR="00E748D4">
        <w:t>Im Jahr 2022 erzielten die anderen Häuser einen operativen Gewinn von 55</w:t>
      </w:r>
      <w:r w:rsidR="00B16338">
        <w:t xml:space="preserve">8 Millionen Euro </w:t>
      </w:r>
      <w:r w:rsidR="00FE1563">
        <w:t xml:space="preserve">und verzeichnete damit eine operative Marge von 14%. </w:t>
      </w:r>
    </w:p>
    <w:p w14:paraId="08F4A380" w14:textId="725EF8DF" w:rsidR="00F048A0" w:rsidRDefault="00F048A0" w:rsidP="00F048A0"/>
    <w:p w14:paraId="72738D54" w14:textId="22591E55" w:rsidR="00A05BBC" w:rsidRPr="0045445D" w:rsidRDefault="007F4994" w:rsidP="0045445D">
      <w:pPr>
        <w:pStyle w:val="berschrift3"/>
        <w:rPr>
          <w:b/>
          <w:bCs/>
        </w:rPr>
      </w:pPr>
      <w:bookmarkStart w:id="7" w:name="_Toc156824935"/>
      <w:r w:rsidRPr="0045445D">
        <w:rPr>
          <w:b/>
          <w:bCs/>
        </w:rPr>
        <w:t>Kering Eyewear</w:t>
      </w:r>
      <w:bookmarkEnd w:id="7"/>
    </w:p>
    <w:p w14:paraId="43281308" w14:textId="44A4BA70" w:rsidR="00A04744" w:rsidRDefault="002E1A86" w:rsidP="00F048A0">
      <w:r>
        <w:t xml:space="preserve">Kering </w:t>
      </w:r>
      <w:proofErr w:type="spellStart"/>
      <w:r>
        <w:t>Eyewear</w:t>
      </w:r>
      <w:proofErr w:type="spellEnd"/>
      <w:r>
        <w:t xml:space="preserve"> wurde Ende 2014 gegründet.</w:t>
      </w:r>
      <w:r w:rsidR="00A75A54">
        <w:t xml:space="preserve"> 2017 wurde eine </w:t>
      </w:r>
      <w:r w:rsidR="00CC7A34">
        <w:t xml:space="preserve">strategische </w:t>
      </w:r>
      <w:r w:rsidR="00A75A54">
        <w:t xml:space="preserve">Partnerschaft mit </w:t>
      </w:r>
      <w:r w:rsidR="00CC7A34" w:rsidRPr="00CC7A34">
        <w:t xml:space="preserve">Compagnie </w:t>
      </w:r>
      <w:proofErr w:type="spellStart"/>
      <w:r w:rsidR="00CC7A34" w:rsidRPr="00CC7A34">
        <w:t>Financière</w:t>
      </w:r>
      <w:proofErr w:type="spellEnd"/>
      <w:r w:rsidR="00CC7A34" w:rsidRPr="00CC7A34">
        <w:t xml:space="preserve"> Richemont</w:t>
      </w:r>
      <w:r w:rsidR="00CC7A34">
        <w:t xml:space="preserve"> unterzeichnet, die </w:t>
      </w:r>
      <w:r w:rsidR="00DD6306">
        <w:t xml:space="preserve">Kering </w:t>
      </w:r>
      <w:proofErr w:type="spellStart"/>
      <w:r w:rsidR="00DD6306">
        <w:t>Eyewear</w:t>
      </w:r>
      <w:proofErr w:type="spellEnd"/>
      <w:r w:rsidR="00DD6306">
        <w:t xml:space="preserve"> erlaubte </w:t>
      </w:r>
      <w:r w:rsidR="00C401FD">
        <w:t xml:space="preserve">Cartiers </w:t>
      </w:r>
      <w:proofErr w:type="spellStart"/>
      <w:r w:rsidR="00C401FD">
        <w:t>Eyewear</w:t>
      </w:r>
      <w:proofErr w:type="spellEnd"/>
      <w:r w:rsidR="00C401FD">
        <w:t>-Sparte zu produzieren.</w:t>
      </w:r>
      <w:r w:rsidR="0063137C">
        <w:t xml:space="preserve"> </w:t>
      </w:r>
      <w:r w:rsidR="005E00B3">
        <w:t>Es</w:t>
      </w:r>
      <w:r w:rsidR="0063137C">
        <w:t xml:space="preserve"> folgte</w:t>
      </w:r>
      <w:r w:rsidR="005E00B3">
        <w:t>n</w:t>
      </w:r>
      <w:r w:rsidR="0063137C">
        <w:t xml:space="preserve"> Partnerschaft</w:t>
      </w:r>
      <w:r w:rsidR="005E00B3">
        <w:t>en</w:t>
      </w:r>
      <w:r w:rsidR="0063137C">
        <w:t xml:space="preserve"> mit Mont</w:t>
      </w:r>
      <w:r w:rsidR="005A2142">
        <w:t>bl</w:t>
      </w:r>
      <w:r w:rsidR="0063137C">
        <w:t>anc</w:t>
      </w:r>
      <w:r w:rsidR="005E00B3">
        <w:t xml:space="preserve"> 2018,</w:t>
      </w:r>
      <w:r w:rsidR="008553F6">
        <w:t xml:space="preserve"> mit Chloé</w:t>
      </w:r>
      <w:r w:rsidR="00436271">
        <w:t xml:space="preserve"> und Dunhill 2020. </w:t>
      </w:r>
      <w:r w:rsidR="002A2871">
        <w:lastRenderedPageBreak/>
        <w:t xml:space="preserve">2021 akquirierte Kering </w:t>
      </w:r>
      <w:proofErr w:type="spellStart"/>
      <w:r w:rsidR="002A2871">
        <w:t>Eyewear</w:t>
      </w:r>
      <w:proofErr w:type="spellEnd"/>
      <w:r w:rsidR="002A2871">
        <w:t xml:space="preserve"> die dänische Luxus </w:t>
      </w:r>
      <w:proofErr w:type="spellStart"/>
      <w:r w:rsidR="002A2871">
        <w:t>Eyewear</w:t>
      </w:r>
      <w:proofErr w:type="spellEnd"/>
      <w:r w:rsidR="002A2871">
        <w:t xml:space="preserve">-Marke </w:t>
      </w:r>
      <w:proofErr w:type="spellStart"/>
      <w:r w:rsidR="002A2871">
        <w:t>Linberg</w:t>
      </w:r>
      <w:proofErr w:type="spellEnd"/>
      <w:r w:rsidR="00A04744">
        <w:t xml:space="preserve">, sowie </w:t>
      </w:r>
      <w:r w:rsidR="00B72347">
        <w:t xml:space="preserve">amerikanische Marke </w:t>
      </w:r>
      <w:r w:rsidR="005446AA">
        <w:t xml:space="preserve">Maui Jim. </w:t>
      </w:r>
      <w:r w:rsidR="00CB7A56">
        <w:t xml:space="preserve">Geschäftsführer ist </w:t>
      </w:r>
      <w:r w:rsidR="00CB7A56" w:rsidRPr="00CB7A56">
        <w:t xml:space="preserve">Roberto </w:t>
      </w:r>
      <w:proofErr w:type="spellStart"/>
      <w:r w:rsidR="00CB7A56" w:rsidRPr="00CB7A56">
        <w:t>Vedovotto</w:t>
      </w:r>
      <w:proofErr w:type="spellEnd"/>
    </w:p>
    <w:p w14:paraId="1A51C838" w14:textId="5FFD0106" w:rsidR="00A05BBC" w:rsidRDefault="00296CA5" w:rsidP="00F048A0">
      <w:r>
        <w:t>Kering</w:t>
      </w:r>
      <w:r w:rsidR="00D41B2C">
        <w:t xml:space="preserve"> </w:t>
      </w:r>
      <w:proofErr w:type="spellStart"/>
      <w:r w:rsidR="00D41B2C">
        <w:t>Eyewear</w:t>
      </w:r>
      <w:proofErr w:type="spellEnd"/>
      <w:r w:rsidR="00D41B2C">
        <w:t xml:space="preserve"> produziert und ve</w:t>
      </w:r>
      <w:r w:rsidR="00B72347">
        <w:t>r</w:t>
      </w:r>
      <w:r w:rsidR="00D41B2C">
        <w:t xml:space="preserve">treibt Brillen </w:t>
      </w:r>
      <w:r w:rsidR="009C39E2">
        <w:t xml:space="preserve">der Marken von </w:t>
      </w:r>
      <w:r w:rsidR="009C39E2" w:rsidRPr="007C4E6C">
        <w:t>Lindberg</w:t>
      </w:r>
      <w:r w:rsidR="009C39E2">
        <w:t xml:space="preserve">, </w:t>
      </w:r>
      <w:r w:rsidR="009C39E2" w:rsidRPr="006572C0">
        <w:t>Maui Jim,</w:t>
      </w:r>
      <w:r w:rsidR="009C39E2">
        <w:t xml:space="preserve"> </w:t>
      </w:r>
      <w:proofErr w:type="spellStart"/>
      <w:r w:rsidR="009C39E2" w:rsidRPr="006572C0">
        <w:t>Zeal</w:t>
      </w:r>
      <w:proofErr w:type="spellEnd"/>
      <w:r w:rsidR="009C39E2" w:rsidRPr="006572C0">
        <w:t xml:space="preserve"> </w:t>
      </w:r>
      <w:proofErr w:type="spellStart"/>
      <w:r w:rsidR="009C39E2" w:rsidRPr="006572C0">
        <w:t>Optics</w:t>
      </w:r>
      <w:proofErr w:type="spellEnd"/>
      <w:r w:rsidR="009C39E2">
        <w:t xml:space="preserve">, </w:t>
      </w:r>
      <w:r w:rsidR="009C39E2" w:rsidRPr="006572C0">
        <w:t>Gucci,</w:t>
      </w:r>
      <w:r w:rsidR="009C39E2">
        <w:t xml:space="preserve"> </w:t>
      </w:r>
      <w:r w:rsidR="009C39E2" w:rsidRPr="006572C0">
        <w:t>Cartie</w:t>
      </w:r>
      <w:r w:rsidR="009C39E2">
        <w:t xml:space="preserve">r, </w:t>
      </w:r>
      <w:r w:rsidR="009C39E2" w:rsidRPr="006572C0">
        <w:t>Saint Laurent</w:t>
      </w:r>
      <w:r w:rsidR="009C39E2" w:rsidRPr="0054775C">
        <w:t>,</w:t>
      </w:r>
      <w:r w:rsidR="009C39E2">
        <w:t xml:space="preserve"> </w:t>
      </w:r>
      <w:r w:rsidR="009C39E2" w:rsidRPr="0054775C">
        <w:t xml:space="preserve">Bottega </w:t>
      </w:r>
      <w:proofErr w:type="spellStart"/>
      <w:r w:rsidR="009C39E2" w:rsidRPr="0054775C">
        <w:t>Veneta</w:t>
      </w:r>
      <w:proofErr w:type="spellEnd"/>
      <w:r w:rsidR="009C39E2" w:rsidRPr="0054775C">
        <w:t>,</w:t>
      </w:r>
      <w:r w:rsidR="009C39E2">
        <w:t xml:space="preserve"> </w:t>
      </w:r>
      <w:r w:rsidR="009C39E2" w:rsidRPr="0054775C">
        <w:t>Balenciaga,</w:t>
      </w:r>
      <w:r w:rsidR="009C39E2">
        <w:t xml:space="preserve"> </w:t>
      </w:r>
      <w:r w:rsidR="009C39E2" w:rsidRPr="0054775C">
        <w:t>Chloé</w:t>
      </w:r>
      <w:r w:rsidR="009C39E2">
        <w:t xml:space="preserve">, </w:t>
      </w:r>
      <w:r w:rsidR="009C39E2" w:rsidRPr="0054775C">
        <w:t xml:space="preserve">Alexander </w:t>
      </w:r>
      <w:proofErr w:type="spellStart"/>
      <w:r w:rsidR="009C39E2" w:rsidRPr="0054775C">
        <w:t>Mcqueen</w:t>
      </w:r>
      <w:proofErr w:type="spellEnd"/>
      <w:r w:rsidR="009C39E2">
        <w:t xml:space="preserve">, </w:t>
      </w:r>
      <w:r w:rsidR="009C39E2" w:rsidRPr="0054775C">
        <w:t>Montblanc</w:t>
      </w:r>
      <w:r w:rsidR="009C39E2">
        <w:t xml:space="preserve">, </w:t>
      </w:r>
      <w:r w:rsidR="009C39E2" w:rsidRPr="0054775C">
        <w:t>Dunhill</w:t>
      </w:r>
      <w:r w:rsidR="009C39E2">
        <w:t xml:space="preserve">, </w:t>
      </w:r>
      <w:proofErr w:type="spellStart"/>
      <w:r w:rsidR="009C39E2" w:rsidRPr="00427EC8">
        <w:t>Alaïa</w:t>
      </w:r>
      <w:proofErr w:type="spellEnd"/>
      <w:r w:rsidR="009C39E2">
        <w:t xml:space="preserve"> sowie </w:t>
      </w:r>
      <w:r w:rsidR="009C39E2" w:rsidRPr="00427EC8">
        <w:t>Puma</w:t>
      </w:r>
      <w:r w:rsidR="006F58EB">
        <w:t xml:space="preserve">. </w:t>
      </w:r>
      <w:r w:rsidR="00636923">
        <w:t>Damit</w:t>
      </w:r>
      <w:r w:rsidR="001E4CB8">
        <w:t xml:space="preserve"> generierte 2022 einen Umsatz </w:t>
      </w:r>
      <w:r w:rsidR="003D0A84">
        <w:t>von 1,139 Milliarden Euro.</w:t>
      </w:r>
      <w:r w:rsidR="00636923">
        <w:t xml:space="preserve"> </w:t>
      </w:r>
      <w:r w:rsidR="00AD7C9E">
        <w:t xml:space="preserve">Dies entspricht </w:t>
      </w:r>
      <w:r w:rsidR="00925EA1">
        <w:t>einem Anteil von knapp 6% am Konzern Ums</w:t>
      </w:r>
      <w:r w:rsidR="00041712">
        <w:t xml:space="preserve">atz. </w:t>
      </w:r>
      <w:r w:rsidR="00B348BC">
        <w:t xml:space="preserve">Die operativen Investments </w:t>
      </w:r>
      <w:r w:rsidR="0057682B">
        <w:t xml:space="preserve">sanken um 51 Millionen Euro und </w:t>
      </w:r>
      <w:r w:rsidR="00232E63">
        <w:t>beliefen sich 2022 auf 2</w:t>
      </w:r>
      <w:r w:rsidR="000D21F2">
        <w:t>38 Millionen Euro.</w:t>
      </w:r>
      <w:r w:rsidR="00041712">
        <w:t xml:space="preserve"> </w:t>
      </w:r>
      <w:r w:rsidR="00AF3FA8">
        <w:t xml:space="preserve">Im Fiskaljahr 2022 verzeichnete Kering </w:t>
      </w:r>
      <w:proofErr w:type="spellStart"/>
      <w:r w:rsidR="00AF3FA8">
        <w:t>Eyew</w:t>
      </w:r>
      <w:r w:rsidR="004C319E">
        <w:t>ea</w:t>
      </w:r>
      <w:r w:rsidR="00AF3FA8">
        <w:t>r</w:t>
      </w:r>
      <w:proofErr w:type="spellEnd"/>
      <w:r w:rsidR="00AF3FA8">
        <w:t xml:space="preserve"> einen operativen Verlust von </w:t>
      </w:r>
      <w:r w:rsidR="00FE2E03">
        <w:t xml:space="preserve">88 Millionen Euro und somit einer negativen operativen Marge von </w:t>
      </w:r>
      <w:r w:rsidR="0047595D">
        <w:t xml:space="preserve">ca. </w:t>
      </w:r>
      <w:r w:rsidR="006957D7">
        <w:t>8%.</w:t>
      </w:r>
    </w:p>
    <w:p w14:paraId="0D9DD5CA" w14:textId="66099FAD" w:rsidR="00D87C6A" w:rsidRPr="00906D3F" w:rsidRDefault="009915A3" w:rsidP="00906D3F">
      <w:pPr>
        <w:pStyle w:val="berschrift2"/>
      </w:pPr>
      <w:bookmarkStart w:id="8" w:name="_Toc156824936"/>
      <w:r w:rsidRPr="00906D3F">
        <w:t>Ausrichtung</w:t>
      </w:r>
      <w:r w:rsidR="0042372B" w:rsidRPr="00906D3F">
        <w:t xml:space="preserve"> </w:t>
      </w:r>
      <w:r w:rsidR="00305207">
        <w:t>und</w:t>
      </w:r>
      <w:r w:rsidR="00DE67D8">
        <w:t xml:space="preserve"> strategische</w:t>
      </w:r>
      <w:r w:rsidR="00305207">
        <w:t xml:space="preserve"> Änderungen</w:t>
      </w:r>
      <w:bookmarkEnd w:id="8"/>
    </w:p>
    <w:p w14:paraId="2FE30EBC" w14:textId="7D3C736A" w:rsidR="00D56A1F" w:rsidRDefault="007A2332" w:rsidP="004C3F8C">
      <w:r>
        <w:t xml:space="preserve">Die </w:t>
      </w:r>
      <w:r w:rsidR="00E87799">
        <w:t>Kering</w:t>
      </w:r>
      <w:r>
        <w:t xml:space="preserve"> Gruppe</w:t>
      </w:r>
      <w:r w:rsidR="00E87799">
        <w:t xml:space="preserve"> </w:t>
      </w:r>
      <w:r w:rsidR="00305207">
        <w:t>konzentriert sich aus</w:t>
      </w:r>
      <w:r w:rsidR="00B654AD">
        <w:t xml:space="preserve"> ausschlie</w:t>
      </w:r>
      <w:r w:rsidR="00C046DB">
        <w:t>ßlich auf den Luxusmarkt</w:t>
      </w:r>
      <w:r w:rsidR="007060CD">
        <w:t>.</w:t>
      </w:r>
      <w:r w:rsidR="00D56A1F">
        <w:t xml:space="preserve"> </w:t>
      </w:r>
      <w:r w:rsidR="000E222D">
        <w:t xml:space="preserve">Die einzelnen Häuser </w:t>
      </w:r>
      <w:r w:rsidR="008E1500">
        <w:t>sollen weiterhin ihre Markenidentität behalten</w:t>
      </w:r>
      <w:r w:rsidR="00F164C4">
        <w:t xml:space="preserve"> und sollen zum Teil unabhängig bleiben. </w:t>
      </w:r>
      <w:r w:rsidR="00821E4B">
        <w:t>Dennoch sollen</w:t>
      </w:r>
      <w:r w:rsidR="00D63445">
        <w:t xml:space="preserve"> sie alle eine komplementäre </w:t>
      </w:r>
      <w:r w:rsidR="00F45ECB">
        <w:t xml:space="preserve">im Ensemble Kering spielen. </w:t>
      </w:r>
      <w:r w:rsidR="00085C73">
        <w:t xml:space="preserve">Indem Ressourcen </w:t>
      </w:r>
      <w:r w:rsidR="006B7A51">
        <w:t>und</w:t>
      </w:r>
      <w:r w:rsidR="0016560D">
        <w:t xml:space="preserve"> andre strategische Funktionen, wie z.B. Logistik- und IT-Systeme, </w:t>
      </w:r>
      <w:r w:rsidR="00FB56CF">
        <w:t>hofft man, sicherzustellen, dass alle Häuser möglichst ihr vollen Potenzial ausschöpfen können.</w:t>
      </w:r>
      <w:r w:rsidR="006957D7">
        <w:t xml:space="preserve"> Dabei versucht man </w:t>
      </w:r>
      <w:r w:rsidR="008D1ACD">
        <w:t xml:space="preserve">eine </w:t>
      </w:r>
      <w:r w:rsidR="00B87F7F">
        <w:t>gewisse Diversität im Markenpor</w:t>
      </w:r>
      <w:r w:rsidR="00F619C2">
        <w:t>tfolio mit verschieden Zielgruppen, Produkten und Standorten zu haben.</w:t>
      </w:r>
      <w:r w:rsidR="00755F10">
        <w:t xml:space="preserve"> In den letzten </w:t>
      </w:r>
      <w:r w:rsidR="00DA4266">
        <w:t xml:space="preserve">Jahren war Kering </w:t>
      </w:r>
      <w:r w:rsidR="00696BEC">
        <w:t xml:space="preserve">bemüht </w:t>
      </w:r>
      <w:r w:rsidR="00DF36AD">
        <w:t xml:space="preserve">auch </w:t>
      </w:r>
      <w:r w:rsidR="00624CE5">
        <w:t xml:space="preserve">die </w:t>
      </w:r>
      <w:r w:rsidR="00DF36AD">
        <w:t>vertikale Integration voranzutreiben</w:t>
      </w:r>
      <w:r w:rsidR="00624CE5">
        <w:t xml:space="preserve"> und somit die Produktionstiefe zu erhöhen</w:t>
      </w:r>
      <w:r w:rsidR="00DF36AD">
        <w:t>.</w:t>
      </w:r>
      <w:r w:rsidR="00845293">
        <w:t xml:space="preserve"> So </w:t>
      </w:r>
      <w:r w:rsidR="00C41DE5">
        <w:t>akquirierte die Kering Gruppe z.B. einige Gerbereien</w:t>
      </w:r>
      <w:r w:rsidR="00E760BF">
        <w:t>, um seine Häuser mit möglichst hochwertigen Stoffen zu versorgen.</w:t>
      </w:r>
      <w:r w:rsidR="005823F0">
        <w:t xml:space="preserve"> Zudem versucht Kering </w:t>
      </w:r>
      <w:r w:rsidR="00BD1265">
        <w:t xml:space="preserve">Kapazitäten und Fähigkeiten aufzubauen, die konzernweit genutzt </w:t>
      </w:r>
      <w:r w:rsidR="000D2CE9">
        <w:t xml:space="preserve">werden können. Das beste Beispiel dafür ist Kering </w:t>
      </w:r>
      <w:proofErr w:type="spellStart"/>
      <w:r w:rsidR="000D2CE9">
        <w:t>Eyewear</w:t>
      </w:r>
      <w:proofErr w:type="spellEnd"/>
      <w:r w:rsidR="000D2CE9">
        <w:t>.</w:t>
      </w:r>
      <w:r w:rsidR="00D37FA7">
        <w:t xml:space="preserve"> </w:t>
      </w:r>
      <w:r w:rsidR="00EB5CBE">
        <w:t>Außerdem sind die Mitarbeiterzufriedenheit und N</w:t>
      </w:r>
      <w:r w:rsidR="00967C62">
        <w:t>achhaltigkeit für Kering äußerst wichtig.</w:t>
      </w:r>
      <w:r w:rsidR="0048489B">
        <w:t xml:space="preserve"> Diversität, (Gender-)</w:t>
      </w:r>
      <w:proofErr w:type="spellStart"/>
      <w:r w:rsidR="0048489B">
        <w:t>Equality</w:t>
      </w:r>
      <w:proofErr w:type="spellEnd"/>
      <w:r w:rsidR="00365DD8">
        <w:t xml:space="preserve"> und noch größere </w:t>
      </w:r>
      <w:r w:rsidR="00147CBF">
        <w:t xml:space="preserve">Mobilität am Arbeitsplatz sind dabei die </w:t>
      </w:r>
      <w:r w:rsidR="00206F94">
        <w:t xml:space="preserve">Säulen für </w:t>
      </w:r>
      <w:proofErr w:type="spellStart"/>
      <w:r w:rsidR="00206F94">
        <w:t>Kerings</w:t>
      </w:r>
      <w:proofErr w:type="spellEnd"/>
      <w:r w:rsidR="00206F94">
        <w:t xml:space="preserve"> H</w:t>
      </w:r>
      <w:r w:rsidR="00206F94" w:rsidRPr="00206F94">
        <w:t xml:space="preserve">uman </w:t>
      </w:r>
      <w:r w:rsidR="00206F94">
        <w:t>R</w:t>
      </w:r>
      <w:r w:rsidR="00206F94" w:rsidRPr="00206F94">
        <w:t xml:space="preserve">esources </w:t>
      </w:r>
      <w:r w:rsidR="00206F94">
        <w:t>F</w:t>
      </w:r>
      <w:r w:rsidR="00206F94" w:rsidRPr="00206F94">
        <w:t>ramework</w:t>
      </w:r>
      <w:r w:rsidR="00206F94">
        <w:t>.</w:t>
      </w:r>
      <w:r w:rsidR="0088760B">
        <w:t xml:space="preserve"> </w:t>
      </w:r>
      <w:r w:rsidR="00732DB1">
        <w:t>Um das Thema Nachhaltigkeit noch weiter im Konzern voranzutreiben hat Kering u.a.</w:t>
      </w:r>
      <w:r w:rsidR="003746DA">
        <w:t xml:space="preserve"> </w:t>
      </w:r>
      <w:r w:rsidR="00C03ABB">
        <w:t>die</w:t>
      </w:r>
      <w:r w:rsidR="003746DA">
        <w:t xml:space="preserve"> Nachhaltigkeit</w:t>
      </w:r>
      <w:r w:rsidR="00C03ABB">
        <w:t>ss</w:t>
      </w:r>
      <w:r w:rsidR="003746DA">
        <w:t>t</w:t>
      </w:r>
      <w:r w:rsidR="00C03ABB">
        <w:t>r</w:t>
      </w:r>
      <w:r w:rsidR="003746DA">
        <w:t>ategie</w:t>
      </w:r>
      <w:r w:rsidR="00732DB1">
        <w:t xml:space="preserve"> </w:t>
      </w:r>
      <w:proofErr w:type="spellStart"/>
      <w:r w:rsidR="00477A7B">
        <w:t>Strategy</w:t>
      </w:r>
      <w:proofErr w:type="spellEnd"/>
      <w:r w:rsidR="00477A7B">
        <w:t xml:space="preserve"> 2025 entworfen.</w:t>
      </w:r>
    </w:p>
    <w:p w14:paraId="525F49F5" w14:textId="3B22EDF4" w:rsidR="00D87C6A" w:rsidRDefault="0020453B" w:rsidP="004C3F8C">
      <w:r>
        <w:t xml:space="preserve">Am 21. </w:t>
      </w:r>
      <w:r w:rsidRPr="007C6AF2">
        <w:t xml:space="preserve">März wurde </w:t>
      </w:r>
      <w:proofErr w:type="spellStart"/>
      <w:r w:rsidRPr="007C6AF2">
        <w:t>Gianfilippo</w:t>
      </w:r>
      <w:proofErr w:type="spellEnd"/>
      <w:r w:rsidRPr="007C6AF2">
        <w:t xml:space="preserve"> Testa </w:t>
      </w:r>
      <w:r w:rsidR="007C6AF2" w:rsidRPr="007C6AF2">
        <w:t>a</w:t>
      </w:r>
      <w:r w:rsidR="007C6AF2">
        <w:t xml:space="preserve">ls neuer CEO von </w:t>
      </w:r>
      <w:r w:rsidR="00C56895">
        <w:t>Alexander McQueen ernannt</w:t>
      </w:r>
      <w:r w:rsidR="00080C86">
        <w:t xml:space="preserve">, als Nachfolger von Emmanuel </w:t>
      </w:r>
      <w:proofErr w:type="spellStart"/>
      <w:r w:rsidR="00080C86">
        <w:t>Gintzburger</w:t>
      </w:r>
      <w:proofErr w:type="spellEnd"/>
      <w:r w:rsidR="006E2F1D">
        <w:t xml:space="preserve">. </w:t>
      </w:r>
      <w:proofErr w:type="spellStart"/>
      <w:r w:rsidR="006E2F1D" w:rsidRPr="007C6AF2">
        <w:t>Gianfilippo</w:t>
      </w:r>
      <w:proofErr w:type="spellEnd"/>
      <w:r w:rsidR="006E2F1D" w:rsidRPr="007C6AF2">
        <w:t xml:space="preserve"> Testa</w:t>
      </w:r>
      <w:r w:rsidR="00AC6C4A">
        <w:t xml:space="preserve"> ist Italiener</w:t>
      </w:r>
      <w:r w:rsidR="00093C95">
        <w:t>. Seine Karriere startete 2002 bei TAG Heuer.</w:t>
      </w:r>
      <w:r w:rsidR="002D646E">
        <w:t xml:space="preserve"> Es folgten weitere Rollen bei LVMH</w:t>
      </w:r>
      <w:r w:rsidR="0021557D">
        <w:t xml:space="preserve">, vor allem für die Marke </w:t>
      </w:r>
      <w:r w:rsidR="00256A33">
        <w:t xml:space="preserve">Fendi. 2016 kam er dann zu Kering als </w:t>
      </w:r>
      <w:r w:rsidR="001F325D">
        <w:t xml:space="preserve">Gucci Präsident in China. Er soll </w:t>
      </w:r>
      <w:r w:rsidR="00D87C6A">
        <w:t>für die</w:t>
      </w:r>
      <w:r w:rsidR="001F325D">
        <w:t xml:space="preserve"> Expansion von Alexander McQueen sorgen. </w:t>
      </w:r>
    </w:p>
    <w:p w14:paraId="5BAA2893" w14:textId="40323942" w:rsidR="00146AE5" w:rsidRDefault="00146AE5" w:rsidP="004C3F8C"/>
    <w:p w14:paraId="13B987AA" w14:textId="6BE6E6EE" w:rsidR="00146AE5" w:rsidRPr="007B7629" w:rsidRDefault="008C7887" w:rsidP="007A2332">
      <w:pPr>
        <w:spacing w:after="0"/>
        <w:rPr>
          <w:b/>
        </w:rPr>
      </w:pPr>
      <w:r>
        <w:rPr>
          <w:noProof/>
        </w:rPr>
        <w:drawing>
          <wp:anchor distT="0" distB="0" distL="114300" distR="114300" simplePos="0" relativeHeight="251659273" behindDoc="1" locked="0" layoutInCell="1" allowOverlap="1" wp14:anchorId="1F03EED9" wp14:editId="2606E215">
            <wp:simplePos x="0" y="0"/>
            <wp:positionH relativeFrom="margin">
              <wp:posOffset>-72390</wp:posOffset>
            </wp:positionH>
            <wp:positionV relativeFrom="margin">
              <wp:posOffset>6090920</wp:posOffset>
            </wp:positionV>
            <wp:extent cx="1550670" cy="2756535"/>
            <wp:effectExtent l="0" t="0" r="0" b="5715"/>
            <wp:wrapSquare wrapText="bothSides"/>
            <wp:docPr id="844967471" name="Grafik 8" descr="Ein Bild, das Kleidung, Person, Schuhwerk, Mo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7471" name="Grafik 8" descr="Ein Bild, das Kleidung, Person, Schuhwerk, Mod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0670" cy="2756535"/>
                    </a:xfrm>
                    <a:prstGeom prst="rect">
                      <a:avLst/>
                    </a:prstGeom>
                  </pic:spPr>
                </pic:pic>
              </a:graphicData>
            </a:graphic>
            <wp14:sizeRelH relativeFrom="margin">
              <wp14:pctWidth>0</wp14:pctWidth>
            </wp14:sizeRelH>
            <wp14:sizeRelV relativeFrom="margin">
              <wp14:pctHeight>0</wp14:pctHeight>
            </wp14:sizeRelV>
          </wp:anchor>
        </w:drawing>
      </w:r>
      <w:r w:rsidR="00146AE5" w:rsidRPr="007B7629">
        <w:rPr>
          <w:b/>
        </w:rPr>
        <w:t xml:space="preserve">Neue Ära </w:t>
      </w:r>
      <w:r w:rsidR="00332733" w:rsidRPr="007B7629">
        <w:rPr>
          <w:b/>
        </w:rPr>
        <w:t xml:space="preserve">bei </w:t>
      </w:r>
      <w:r w:rsidR="00146AE5" w:rsidRPr="007B7629">
        <w:rPr>
          <w:b/>
        </w:rPr>
        <w:t xml:space="preserve">Gucci </w:t>
      </w:r>
    </w:p>
    <w:p w14:paraId="17396C08" w14:textId="1FEFE06D" w:rsidR="003601E1" w:rsidRDefault="00AD562A" w:rsidP="00446F33">
      <w:r>
        <w:rPr>
          <w:noProof/>
        </w:rPr>
        <mc:AlternateContent>
          <mc:Choice Requires="wps">
            <w:drawing>
              <wp:anchor distT="45720" distB="45720" distL="114300" distR="114300" simplePos="0" relativeHeight="251661321" behindDoc="1" locked="0" layoutInCell="1" allowOverlap="1" wp14:anchorId="6F41532B" wp14:editId="77F5A6A4">
                <wp:simplePos x="0" y="0"/>
                <wp:positionH relativeFrom="margin">
                  <wp:posOffset>-138502</wp:posOffset>
                </wp:positionH>
                <wp:positionV relativeFrom="paragraph">
                  <wp:posOffset>2777490</wp:posOffset>
                </wp:positionV>
                <wp:extent cx="1969135" cy="2247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969135" cy="224790"/>
                        </a:xfrm>
                        <a:prstGeom prst="rect">
                          <a:avLst/>
                        </a:prstGeom>
                        <a:solidFill>
                          <a:srgbClr val="FFFFFF"/>
                        </a:solidFill>
                        <a:ln w="9525">
                          <a:noFill/>
                          <a:miter lim="800000"/>
                          <a:headEnd/>
                          <a:tailEnd/>
                        </a:ln>
                      </wps:spPr>
                      <wps:txbx>
                        <w:txbxContent>
                          <w:p w14:paraId="62ED2B73" w14:textId="0BCAFC5C" w:rsidR="00216D15" w:rsidRPr="00F861F5" w:rsidRDefault="00216D15">
                            <w:pPr>
                              <w:rPr>
                                <w:color w:val="808080" w:themeColor="background1" w:themeShade="80"/>
                                <w:sz w:val="14"/>
                                <w:szCs w:val="14"/>
                              </w:rPr>
                            </w:pPr>
                            <w:r w:rsidRPr="00F861F5">
                              <w:rPr>
                                <w:color w:val="808080" w:themeColor="background1" w:themeShade="80"/>
                                <w:sz w:val="14"/>
                                <w:szCs w:val="14"/>
                              </w:rPr>
                              <w:t xml:space="preserve">Aus </w:t>
                            </w:r>
                            <w:proofErr w:type="spellStart"/>
                            <w:r w:rsidRPr="00F861F5">
                              <w:rPr>
                                <w:color w:val="808080" w:themeColor="background1" w:themeShade="80"/>
                                <w:sz w:val="14"/>
                                <w:szCs w:val="14"/>
                              </w:rPr>
                              <w:t>de</w:t>
                            </w:r>
                            <w:proofErr w:type="spellEnd"/>
                            <w:r w:rsidR="00F861F5" w:rsidRPr="00F861F5">
                              <w:rPr>
                                <w:color w:val="808080" w:themeColor="background1" w:themeShade="80"/>
                                <w:sz w:val="14"/>
                                <w:szCs w:val="14"/>
                              </w:rPr>
                              <w:t xml:space="preserve"> Sarnos ersten Kollektion bei Gucc</w:t>
                            </w:r>
                            <w:r w:rsidR="00F861F5">
                              <w:rPr>
                                <w:color w:val="808080" w:themeColor="background1" w:themeShade="80"/>
                                <w:sz w:val="14"/>
                                <w:szCs w:val="1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1532B" id="_x0000_s1031" type="#_x0000_t202" style="position:absolute;margin-left:-10.9pt;margin-top:218.7pt;width:155.05pt;height:17.7pt;rotation:180;flip:y;z-index:-2516551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" stroked="f">
                <v:textbox>
                  <w:txbxContent>
                    <w:p w14:paraId="62ED2B73" w14:textId="0BCAFC5C" w:rsidR="00216D15" w:rsidRPr="00F861F5" w:rsidRDefault="00216D15">
                      <w:pPr>
                        <w:rPr>
                          <w:color w:val="808080" w:themeColor="background1" w:themeShade="80"/>
                          <w:sz w:val="14"/>
                          <w:szCs w:val="14"/>
                        </w:rPr>
                      </w:pPr>
                      <w:r w:rsidRPr="00F861F5">
                        <w:rPr>
                          <w:color w:val="808080" w:themeColor="background1" w:themeShade="80"/>
                          <w:sz w:val="14"/>
                          <w:szCs w:val="14"/>
                        </w:rPr>
                        <w:t xml:space="preserve">Aus </w:t>
                      </w:r>
                      <w:proofErr w:type="spellStart"/>
                      <w:r w:rsidRPr="00F861F5">
                        <w:rPr>
                          <w:color w:val="808080" w:themeColor="background1" w:themeShade="80"/>
                          <w:sz w:val="14"/>
                          <w:szCs w:val="14"/>
                        </w:rPr>
                        <w:t>de</w:t>
                      </w:r>
                      <w:proofErr w:type="spellEnd"/>
                      <w:r w:rsidR="00F861F5" w:rsidRPr="00F861F5">
                        <w:rPr>
                          <w:color w:val="808080" w:themeColor="background1" w:themeShade="80"/>
                          <w:sz w:val="14"/>
                          <w:szCs w:val="14"/>
                        </w:rPr>
                        <w:t xml:space="preserve"> Sarnos ersten Kollektion bei Gucc</w:t>
                      </w:r>
                      <w:r w:rsidR="00F861F5">
                        <w:rPr>
                          <w:color w:val="808080" w:themeColor="background1" w:themeShade="80"/>
                          <w:sz w:val="14"/>
                          <w:szCs w:val="14"/>
                        </w:rPr>
                        <w:t>i</w:t>
                      </w:r>
                    </w:p>
                  </w:txbxContent>
                </v:textbox>
                <w10:wrap anchorx="margin"/>
              </v:shape>
            </w:pict>
          </mc:Fallback>
        </mc:AlternateContent>
      </w:r>
      <w:r w:rsidR="009F2870">
        <w:t xml:space="preserve">Alessandro Michele </w:t>
      </w:r>
      <w:r w:rsidR="00284E40">
        <w:t>trat</w:t>
      </w:r>
      <w:r w:rsidR="009F2870">
        <w:t xml:space="preserve"> als kreativer Direktor von Gucci zurück.</w:t>
      </w:r>
      <w:r w:rsidR="002954F8">
        <w:t xml:space="preserve"> </w:t>
      </w:r>
      <w:r w:rsidR="00F57D23">
        <w:t>Nach</w:t>
      </w:r>
      <w:r w:rsidR="006A4FBC">
        <w:t xml:space="preserve"> ungefähr Jahren an der Design-Spitze Guccis verließ Michele das Unternehmen Ende 2022.</w:t>
      </w:r>
      <w:r w:rsidR="001B11E2">
        <w:t xml:space="preserve"> </w:t>
      </w:r>
      <w:r w:rsidR="002954F8">
        <w:t xml:space="preserve">Sein Nachfolger ist </w:t>
      </w:r>
      <w:r w:rsidR="00421314">
        <w:t xml:space="preserve">Sabato de Sarno. </w:t>
      </w:r>
      <w:r w:rsidR="00782959">
        <w:t>De Sarno begann seine Kar</w:t>
      </w:r>
      <w:r w:rsidR="00A45CF6">
        <w:t>riere 2005 bei Prada</w:t>
      </w:r>
      <w:r w:rsidR="003C5836">
        <w:t>, wechselte dann zu Dolce &amp; Gab</w:t>
      </w:r>
      <w:r w:rsidR="005D717B">
        <w:t>b</w:t>
      </w:r>
      <w:r w:rsidR="003C5836">
        <w:t xml:space="preserve">ana </w:t>
      </w:r>
      <w:r w:rsidR="005D717B">
        <w:t xml:space="preserve">und war bis vor kurzem bei Valentino </w:t>
      </w:r>
      <w:r w:rsidR="007667DE">
        <w:t>als Design Direktor für Männer</w:t>
      </w:r>
      <w:r w:rsidR="00591117">
        <w:t xml:space="preserve"> und Frauen</w:t>
      </w:r>
      <w:r w:rsidR="007667DE">
        <w:t xml:space="preserve"> Mode </w:t>
      </w:r>
      <w:r w:rsidR="005D717B">
        <w:t>tätig.</w:t>
      </w:r>
      <w:r w:rsidR="004A1071">
        <w:t xml:space="preserve"> </w:t>
      </w:r>
      <w:r w:rsidR="00B0017F">
        <w:t xml:space="preserve">Über </w:t>
      </w:r>
      <w:r w:rsidR="00C65CD3">
        <w:t xml:space="preserve">sich de Sarno er sei „realer“. Außerdem </w:t>
      </w:r>
      <w:r w:rsidR="00384F00">
        <w:t>soll</w:t>
      </w:r>
      <w:r w:rsidR="00C65CD3">
        <w:t xml:space="preserve"> unter ihm die Farbe Rot Guccis neu</w:t>
      </w:r>
      <w:r w:rsidR="00384F00">
        <w:t xml:space="preserve">e </w:t>
      </w:r>
      <w:r w:rsidR="00C65CD3">
        <w:t>Markenfarbe werden.</w:t>
      </w:r>
      <w:r w:rsidR="00FA0278">
        <w:t xml:space="preserve"> Er soll d</w:t>
      </w:r>
      <w:r w:rsidR="0062488C">
        <w:t xml:space="preserve">ie modische Autorität Guccis wieder stärken aber gleichzeitig von dessen Erbe profitieren. </w:t>
      </w:r>
      <w:r w:rsidR="00316250">
        <w:t xml:space="preserve">Selbst sagt, er möchte das </w:t>
      </w:r>
      <w:r w:rsidR="00D46A79">
        <w:t>„</w:t>
      </w:r>
      <w:r w:rsidR="00316250">
        <w:t>Italienische</w:t>
      </w:r>
      <w:r w:rsidR="00D46A79">
        <w:t>“</w:t>
      </w:r>
      <w:r w:rsidR="008A15FD">
        <w:t xml:space="preserve"> </w:t>
      </w:r>
      <w:r w:rsidR="00D46A79">
        <w:t>bei Gucci zurückbringen.</w:t>
      </w:r>
      <w:r w:rsidR="007E031E">
        <w:t xml:space="preserve"> Menschen sollen sich wieder in Gucci verlieben können.</w:t>
      </w:r>
      <w:r w:rsidR="00E02F9B">
        <w:t xml:space="preserve"> De Sarno sieht </w:t>
      </w:r>
      <w:r w:rsidR="001E19F7">
        <w:t>sich selbst eher als einen Mode-Ingenieur als einen Mode-Visionär.</w:t>
      </w:r>
      <w:r w:rsidR="00D033B6">
        <w:t xml:space="preserve"> </w:t>
      </w:r>
      <w:r w:rsidR="004D7A88">
        <w:t>De Sarnos erste Kollektion bei Gucci war Fall/Winter 24</w:t>
      </w:r>
      <w:r w:rsidR="00384F00">
        <w:t>.</w:t>
      </w:r>
      <w:r w:rsidR="00D033B6">
        <w:t xml:space="preserve"> </w:t>
      </w:r>
      <w:r w:rsidR="009915A3">
        <w:t xml:space="preserve"> </w:t>
      </w:r>
      <w:r w:rsidR="00B1466F">
        <w:t xml:space="preserve">Zusätzlich verließ auch Guccis </w:t>
      </w:r>
      <w:r w:rsidR="00EF26AE">
        <w:t>CEO das Unternehmen, weil er s</w:t>
      </w:r>
      <w:r w:rsidR="002F5B57">
        <w:t>ich mit dem Vorstand, wie auch Michelle</w:t>
      </w:r>
      <w:r w:rsidR="001F3072">
        <w:t>, nicht über die strategische Ausrichtung der Marke einigen konnte.</w:t>
      </w:r>
      <w:r w:rsidR="00560DA9">
        <w:t xml:space="preserve"> (Siehe Geschäftsmodell</w:t>
      </w:r>
      <w:r w:rsidR="008E348B">
        <w:t xml:space="preserve">: </w:t>
      </w:r>
      <w:r w:rsidR="00560DA9">
        <w:t>Gucci)</w:t>
      </w:r>
    </w:p>
    <w:p w14:paraId="69E1F542" w14:textId="06FE9CC1" w:rsidR="00E27DF2" w:rsidRPr="00E27DF2" w:rsidRDefault="00CB7A56" w:rsidP="00527D6B">
      <w:pPr>
        <w:pStyle w:val="berschrift2"/>
      </w:pPr>
      <w:bookmarkStart w:id="9" w:name="_Toc156824937"/>
      <w:r w:rsidRPr="00906D3F">
        <w:lastRenderedPageBreak/>
        <w:t>Management und Ak</w:t>
      </w:r>
      <w:r w:rsidR="003F4065" w:rsidRPr="00906D3F">
        <w:t>tionärsstruktur</w:t>
      </w:r>
      <w:bookmarkEnd w:id="9"/>
    </w:p>
    <w:p w14:paraId="379582F2" w14:textId="4C1B841C" w:rsidR="003601E1" w:rsidRDefault="004B080D" w:rsidP="0077448C">
      <w:pPr>
        <w:spacing w:after="0"/>
      </w:pPr>
      <w:proofErr w:type="spellStart"/>
      <w:r>
        <w:t>Kering</w:t>
      </w:r>
      <w:r w:rsidR="009041FD">
        <w:t>s</w:t>
      </w:r>
      <w:proofErr w:type="spellEnd"/>
      <w:r w:rsidR="00E271A5">
        <w:t xml:space="preserve"> Vorstandsvorsitzender und CEO</w:t>
      </w:r>
      <w:r w:rsidR="001D57B3">
        <w:t xml:space="preserve"> ist </w:t>
      </w:r>
      <w:r w:rsidR="001D57B3" w:rsidRPr="001D57B3">
        <w:t>François-Henri Pinault</w:t>
      </w:r>
      <w:r w:rsidR="001D57B3">
        <w:t>.</w:t>
      </w:r>
      <w:r w:rsidR="009041FD">
        <w:t xml:space="preserve"> Er ist der Sohn des Gründers </w:t>
      </w:r>
      <w:r w:rsidR="00406077" w:rsidRPr="001D57B3">
        <w:t>François</w:t>
      </w:r>
      <w:r w:rsidR="00406077">
        <w:t xml:space="preserve"> </w:t>
      </w:r>
      <w:r w:rsidR="00406077" w:rsidRPr="001D57B3">
        <w:t>Pinault</w:t>
      </w:r>
      <w:r w:rsidR="00406077">
        <w:t xml:space="preserve">. </w:t>
      </w:r>
      <w:r w:rsidR="004E0B40" w:rsidRPr="001D57B3">
        <w:t>François-Henri Pinault</w:t>
      </w:r>
      <w:r w:rsidR="004E0B40">
        <w:t xml:space="preserve"> wurde 1962 in Rennes geboren.</w:t>
      </w:r>
      <w:r w:rsidR="00F95E9B">
        <w:t xml:space="preserve"> Nachdem er 19</w:t>
      </w:r>
      <w:r w:rsidR="0077448C">
        <w:t xml:space="preserve">85 sein Studium an der Pariser </w:t>
      </w:r>
      <w:r w:rsidR="00ED7998" w:rsidRPr="00ED7998">
        <w:t xml:space="preserve">École des Hautes Études </w:t>
      </w:r>
      <w:proofErr w:type="spellStart"/>
      <w:r w:rsidR="00ED7998" w:rsidRPr="00ED7998">
        <w:t>Commerciales</w:t>
      </w:r>
      <w:proofErr w:type="spellEnd"/>
      <w:r w:rsidR="0042484E">
        <w:t xml:space="preserve"> abschloss, kam er 1987 zur Kering Gruppe. </w:t>
      </w:r>
      <w:r w:rsidR="00ED3A04">
        <w:t xml:space="preserve">2005 wurde er dann zu </w:t>
      </w:r>
      <w:proofErr w:type="spellStart"/>
      <w:r w:rsidR="00ED3A04">
        <w:t>Kerings</w:t>
      </w:r>
      <w:proofErr w:type="spellEnd"/>
      <w:r w:rsidR="00ED3A04">
        <w:t xml:space="preserve"> CEO ernannt und löste </w:t>
      </w:r>
      <w:r w:rsidR="007A2A13">
        <w:t>Serge Weinberg ab.</w:t>
      </w:r>
    </w:p>
    <w:p w14:paraId="1C1304B4" w14:textId="7084BD93" w:rsidR="00FA3A9D" w:rsidRDefault="006912CA" w:rsidP="0077448C">
      <w:pPr>
        <w:spacing w:after="0"/>
      </w:pPr>
      <w:r w:rsidRPr="006912CA">
        <w:t xml:space="preserve">Francesca </w:t>
      </w:r>
      <w:proofErr w:type="spellStart"/>
      <w:r w:rsidRPr="006912CA">
        <w:t>Bellettini</w:t>
      </w:r>
      <w:proofErr w:type="spellEnd"/>
      <w:r>
        <w:t xml:space="preserve"> ist nicht nur Geschäftsführerin von YSL</w:t>
      </w:r>
      <w:r w:rsidR="00162ED5">
        <w:t>,</w:t>
      </w:r>
      <w:r>
        <w:t xml:space="preserve"> sondern auch Deputy CEO </w:t>
      </w:r>
      <w:r w:rsidR="00527D6B">
        <w:t>bei Kering und Verantwortlich für die Entwicklung der Marke Kering.</w:t>
      </w:r>
      <w:r w:rsidR="006A3D33">
        <w:t xml:space="preserve"> </w:t>
      </w:r>
      <w:r w:rsidR="006A3D33" w:rsidRPr="006A3D33">
        <w:t xml:space="preserve">Jean-Marc </w:t>
      </w:r>
      <w:proofErr w:type="spellStart"/>
      <w:r w:rsidR="006A3D33" w:rsidRPr="006A3D33">
        <w:t>Duplaix</w:t>
      </w:r>
      <w:proofErr w:type="spellEnd"/>
      <w:r w:rsidR="006A3D33">
        <w:t xml:space="preserve"> ist ebenfalls Deputy CEO bei Kering sowie </w:t>
      </w:r>
      <w:r w:rsidR="007E7B9E">
        <w:t xml:space="preserve">Verantwortlich für </w:t>
      </w:r>
      <w:proofErr w:type="spellStart"/>
      <w:r w:rsidR="007E7B9E">
        <w:t>Operations</w:t>
      </w:r>
      <w:proofErr w:type="spellEnd"/>
      <w:r w:rsidR="007E7B9E">
        <w:t xml:space="preserve"> and Finance bei Kering</w:t>
      </w:r>
      <w:r w:rsidR="0072327B">
        <w:t xml:space="preserve"> (CFO). </w:t>
      </w:r>
      <w:r w:rsidR="00FA36DF" w:rsidRPr="00FA36DF">
        <w:t xml:space="preserve">Grégory </w:t>
      </w:r>
      <w:proofErr w:type="spellStart"/>
      <w:r w:rsidR="00FA36DF" w:rsidRPr="00FA36DF">
        <w:t>Boutté</w:t>
      </w:r>
      <w:proofErr w:type="spellEnd"/>
      <w:r w:rsidR="0072327B">
        <w:t xml:space="preserve"> ist </w:t>
      </w:r>
      <w:r w:rsidR="002F6D3C">
        <w:t>verantwortlich für Kunden (CCO)</w:t>
      </w:r>
      <w:r w:rsidR="00FA3A9D">
        <w:t xml:space="preserve"> sowie </w:t>
      </w:r>
      <w:r w:rsidR="001F5113">
        <w:t>für die digitale Transformation (CDO)</w:t>
      </w:r>
      <w:r w:rsidR="00270897">
        <w:t xml:space="preserve">. </w:t>
      </w:r>
      <w:r w:rsidR="003B56CC">
        <w:t xml:space="preserve">Weitere Personen im Management bei Kering sind </w:t>
      </w:r>
      <w:r w:rsidR="003B56CC" w:rsidRPr="003B56CC">
        <w:t xml:space="preserve">Marie-Claire </w:t>
      </w:r>
      <w:proofErr w:type="spellStart"/>
      <w:r w:rsidR="003B56CC" w:rsidRPr="003B56CC">
        <w:t>Daveu</w:t>
      </w:r>
      <w:proofErr w:type="spellEnd"/>
      <w:r w:rsidR="003B56CC">
        <w:t xml:space="preserve"> (CSO und</w:t>
      </w:r>
      <w:r w:rsidR="00E261A5">
        <w:t xml:space="preserve"> CIAO)</w:t>
      </w:r>
      <w:r w:rsidR="004C5910">
        <w:t xml:space="preserve"> und</w:t>
      </w:r>
      <w:r w:rsidR="003037E1">
        <w:t xml:space="preserve"> </w:t>
      </w:r>
      <w:r w:rsidR="003037E1" w:rsidRPr="003037E1">
        <w:t xml:space="preserve">Valérie </w:t>
      </w:r>
      <w:proofErr w:type="spellStart"/>
      <w:r w:rsidR="003037E1" w:rsidRPr="003037E1">
        <w:t>Duport</w:t>
      </w:r>
      <w:proofErr w:type="spellEnd"/>
      <w:r w:rsidR="003037E1">
        <w:t xml:space="preserve"> (CCO).</w:t>
      </w:r>
    </w:p>
    <w:p w14:paraId="00E6074F" w14:textId="77777777" w:rsidR="00C03ABB" w:rsidRDefault="00C03ABB" w:rsidP="0077448C">
      <w:pPr>
        <w:spacing w:after="0"/>
      </w:pPr>
    </w:p>
    <w:p w14:paraId="1676E839" w14:textId="77777777" w:rsidR="00D20C66" w:rsidRDefault="00D20C66" w:rsidP="0077448C">
      <w:pPr>
        <w:spacing w:after="0"/>
      </w:pPr>
    </w:p>
    <w:p w14:paraId="03F93D7A" w14:textId="77777777" w:rsidR="003037E1" w:rsidRPr="003601E1" w:rsidRDefault="003037E1" w:rsidP="0077448C">
      <w:pPr>
        <w:spacing w:after="0"/>
      </w:pPr>
    </w:p>
    <w:p w14:paraId="197EE6AE" w14:textId="18C13240" w:rsidR="00C03ABB" w:rsidRDefault="00687642">
      <w:r>
        <w:rPr>
          <w:noProof/>
        </w:rPr>
        <w:drawing>
          <wp:inline distT="0" distB="0" distL="0" distR="0" wp14:anchorId="64D3D267" wp14:editId="3DCB2B5D">
            <wp:extent cx="6154616" cy="2560320"/>
            <wp:effectExtent l="0" t="0" r="17780" b="11430"/>
            <wp:docPr id="203290123" name="Diagramm 1">
              <a:extLst xmlns:a="http://schemas.openxmlformats.org/drawingml/2006/main">
                <a:ext uri="{FF2B5EF4-FFF2-40B4-BE49-F238E27FC236}">
                  <a16:creationId xmlns:a16="http://schemas.microsoft.com/office/drawing/2014/main" id="{026877CA-2D76-562C-BA16-044FC67F4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3029BB" w14:textId="32A8AC98" w:rsidR="00730D22" w:rsidRPr="00CF70A4" w:rsidRDefault="00666A75">
      <w:r>
        <w:t xml:space="preserve">Die Größte Aktionär der Kering </w:t>
      </w:r>
      <w:r w:rsidR="004C58CE">
        <w:t xml:space="preserve">SE mit einem Aktienanteil von </w:t>
      </w:r>
      <w:r w:rsidR="004C677C">
        <w:t>42,33% ist die Familie des Gründers</w:t>
      </w:r>
      <w:r w:rsidR="00C77DB2">
        <w:t xml:space="preserve"> Francois Pinault</w:t>
      </w:r>
      <w:r w:rsidR="00607B52">
        <w:t xml:space="preserve">. </w:t>
      </w:r>
      <w:r w:rsidR="00C77DB2">
        <w:t xml:space="preserve">Diese Anteile wurden über </w:t>
      </w:r>
      <w:r w:rsidR="00586AA5">
        <w:t xml:space="preserve">die Investmentfirma der Pinaults </w:t>
      </w:r>
      <w:r w:rsidR="00586AA5" w:rsidRPr="00586AA5">
        <w:t>Artémis</w:t>
      </w:r>
      <w:r w:rsidR="00586AA5">
        <w:t xml:space="preserve"> gehalten</w:t>
      </w:r>
      <w:r w:rsidR="008D1212">
        <w:t xml:space="preserve">. </w:t>
      </w:r>
      <w:r w:rsidR="00D63942">
        <w:t xml:space="preserve">Mit einem Anteil von </w:t>
      </w:r>
      <w:r w:rsidR="003028BC">
        <w:t xml:space="preserve">35,49% bilden die </w:t>
      </w:r>
      <w:r w:rsidR="0018194F">
        <w:t xml:space="preserve">Private Investoren und Kleinanleger (Free </w:t>
      </w:r>
      <w:proofErr w:type="spellStart"/>
      <w:r w:rsidR="0018194F">
        <w:t>Float</w:t>
      </w:r>
      <w:proofErr w:type="spellEnd"/>
      <w:r w:rsidR="0018194F">
        <w:t xml:space="preserve">) die zweit größte Gruppe der Aktionäre. </w:t>
      </w:r>
      <w:r w:rsidR="00182066">
        <w:t xml:space="preserve">Rund 5% der Anteile </w:t>
      </w:r>
      <w:r w:rsidR="00087791">
        <w:t xml:space="preserve">werden von der Schottischen Investmentfirma </w:t>
      </w:r>
      <w:proofErr w:type="spellStart"/>
      <w:r w:rsidR="00087791">
        <w:t>Bailie</w:t>
      </w:r>
      <w:proofErr w:type="spellEnd"/>
      <w:r w:rsidR="00087791">
        <w:t xml:space="preserve"> Gifford &amp; Co. gehalten</w:t>
      </w:r>
      <w:r w:rsidR="0011252E">
        <w:t xml:space="preserve">, welche </w:t>
      </w:r>
      <w:r w:rsidR="002934BD">
        <w:t>zahlreiche Investmentfonds mit unterschiedlichen Strategien auflegt.</w:t>
      </w:r>
      <w:r w:rsidR="00111DBF">
        <w:t xml:space="preserve"> </w:t>
      </w:r>
      <w:r w:rsidR="00560156" w:rsidRPr="00CF70A4">
        <w:t xml:space="preserve">Capital Research </w:t>
      </w:r>
      <w:r w:rsidR="00FA4E4D" w:rsidRPr="00CF70A4">
        <w:t xml:space="preserve">&amp; Management Co. gehört </w:t>
      </w:r>
      <w:r w:rsidR="00564F1C" w:rsidRPr="00CF70A4">
        <w:t>zur Capital Group Companies, eine</w:t>
      </w:r>
      <w:r w:rsidR="00CF70A4" w:rsidRPr="00CF70A4">
        <w:t xml:space="preserve"> amerikanische Investmentgesellsch</w:t>
      </w:r>
      <w:r w:rsidR="00CF70A4">
        <w:t>aft mit Sitz in</w:t>
      </w:r>
      <w:r w:rsidR="005B60FA">
        <w:t xml:space="preserve"> Los Angeles, die rund 2,3 </w:t>
      </w:r>
      <w:r w:rsidR="00140CE9">
        <w:t xml:space="preserve">Billionen Assets </w:t>
      </w:r>
      <w:proofErr w:type="spellStart"/>
      <w:r w:rsidR="00140CE9">
        <w:t>Under</w:t>
      </w:r>
      <w:proofErr w:type="spellEnd"/>
      <w:r w:rsidR="00140CE9">
        <w:t xml:space="preserve"> Management hat. </w:t>
      </w:r>
      <w:r w:rsidR="008E0CC9">
        <w:t>Sie besitzen rund 2,3% an Kering.</w:t>
      </w:r>
      <w:r w:rsidR="00E7397C">
        <w:t xml:space="preserve"> </w:t>
      </w:r>
      <w:r w:rsidR="005406B6">
        <w:t xml:space="preserve">Die </w:t>
      </w:r>
      <w:r w:rsidR="00522381">
        <w:t>Vanguard</w:t>
      </w:r>
      <w:r w:rsidR="005406B6">
        <w:t xml:space="preserve"> Gruppe</w:t>
      </w:r>
      <w:r w:rsidR="00522381">
        <w:t>, der nach Black</w:t>
      </w:r>
      <w:r w:rsidR="005406B6">
        <w:t xml:space="preserve">Rock weltweit zweitgrößte </w:t>
      </w:r>
      <w:r w:rsidR="00730D22">
        <w:t xml:space="preserve">Finanzdienstleister mit über 8 Billionen in AUM, hält rund 2% der Kering Aktien. Den Rest </w:t>
      </w:r>
      <w:r w:rsidR="00E643D4">
        <w:t xml:space="preserve">der Kering Aktien, also ca. 13%, halten </w:t>
      </w:r>
      <w:r w:rsidR="00623513">
        <w:t xml:space="preserve">weitere institutionelle Investoren. </w:t>
      </w:r>
      <w:r w:rsidR="00BE56F0">
        <w:t>Diese Anteile liegen jedoch alle unterhalb von 2%</w:t>
      </w:r>
      <w:r w:rsidR="00104D6F">
        <w:t>.</w:t>
      </w:r>
      <w:r w:rsidR="005406B6">
        <w:t xml:space="preserve"> </w:t>
      </w:r>
    </w:p>
    <w:p w14:paraId="62863D87" w14:textId="35A3E8CF" w:rsidR="00A301D8" w:rsidRDefault="0042372B" w:rsidP="00527D6B">
      <w:pPr>
        <w:pStyle w:val="berschrift2"/>
      </w:pPr>
      <w:bookmarkStart w:id="10" w:name="_Toc156824938"/>
      <w:r>
        <w:t>Sonstiges</w:t>
      </w:r>
      <w:bookmarkEnd w:id="10"/>
      <w:r>
        <w:t xml:space="preserve"> </w:t>
      </w:r>
    </w:p>
    <w:p w14:paraId="0FB242E8" w14:textId="4FE3D9D0" w:rsidR="00483182" w:rsidRDefault="00E22DEA" w:rsidP="00C7426C">
      <w:r>
        <w:t xml:space="preserve">Ende </w:t>
      </w:r>
      <w:r w:rsidR="001446F4">
        <w:t xml:space="preserve">2021 wurde </w:t>
      </w:r>
      <w:r w:rsidR="001400AA">
        <w:t>ein geplantes Aktienrückkaufprogramm angekündigt</w:t>
      </w:r>
      <w:r w:rsidR="00EA18AB">
        <w:t>.</w:t>
      </w:r>
      <w:r w:rsidR="001400AA">
        <w:t xml:space="preserve"> </w:t>
      </w:r>
      <w:r w:rsidR="00821FCD">
        <w:t xml:space="preserve">In den nächsten 24 Monaten </w:t>
      </w:r>
      <w:r w:rsidR="00F01F91">
        <w:t xml:space="preserve">(also bis Ende 2023) 2% der </w:t>
      </w:r>
      <w:r w:rsidR="00483182">
        <w:t xml:space="preserve">Marktkapitalisierung zurückgekauft werden. </w:t>
      </w:r>
    </w:p>
    <w:p w14:paraId="56E0DE5F" w14:textId="5F3AEB17" w:rsidR="00911F1F" w:rsidRDefault="00911F1F" w:rsidP="00C7426C">
      <w:r>
        <w:t xml:space="preserve">Seit längerer Zeit kursiert das Gerücht, dass </w:t>
      </w:r>
      <w:r w:rsidR="00A12E5E">
        <w:t xml:space="preserve">Pinault </w:t>
      </w:r>
      <w:r w:rsidR="00C362B3">
        <w:t>eine Mehrheitsbeteiligung in</w:t>
      </w:r>
      <w:r w:rsidR="00B82CE0">
        <w:t xml:space="preserve"> der</w:t>
      </w:r>
      <w:r w:rsidR="00A12E5E">
        <w:t xml:space="preserve"> </w:t>
      </w:r>
      <w:r w:rsidR="00C362B3">
        <w:t xml:space="preserve">Hollywood Talent-Agentur </w:t>
      </w:r>
      <w:r w:rsidR="00C74858">
        <w:t xml:space="preserve">über seine Familien-Investmentfirma </w:t>
      </w:r>
      <w:r w:rsidR="00A12E5E" w:rsidRPr="00A12E5E">
        <w:t>Artémis</w:t>
      </w:r>
      <w:r w:rsidR="00C74858">
        <w:t xml:space="preserve">, welche auch </w:t>
      </w:r>
      <w:proofErr w:type="spellStart"/>
      <w:r w:rsidR="00C74858">
        <w:t>Kerings</w:t>
      </w:r>
      <w:proofErr w:type="spellEnd"/>
      <w:r w:rsidR="00C74858">
        <w:t xml:space="preserve"> größter Aktionär ist,</w:t>
      </w:r>
      <w:r w:rsidR="00B82CE0">
        <w:t xml:space="preserve"> erwerben möchte.</w:t>
      </w:r>
    </w:p>
    <w:p w14:paraId="1C358247" w14:textId="77505353" w:rsidR="004046DA" w:rsidRDefault="00E52144" w:rsidP="00C7426C">
      <w:pPr>
        <w:rPr>
          <w:rFonts w:asciiTheme="majorHAnsi" w:eastAsiaTheme="majorEastAsia" w:hAnsiTheme="majorHAnsi" w:cstheme="majorBidi"/>
          <w:b/>
          <w:bCs/>
          <w:sz w:val="28"/>
          <w:szCs w:val="28"/>
        </w:rPr>
      </w:pPr>
      <w:r>
        <w:t>Im Herbst letzten Jahres</w:t>
      </w:r>
      <w:r w:rsidR="00A57C02">
        <w:t xml:space="preserve"> </w:t>
      </w:r>
      <w:r w:rsidR="00C1369D">
        <w:t>erlitt</w:t>
      </w:r>
      <w:r w:rsidR="007E1B7A">
        <w:t xml:space="preserve"> Balenciaga einen schweren Kratzer an der Markenreputation</w:t>
      </w:r>
      <w:r w:rsidR="0030364A">
        <w:t xml:space="preserve">, nachdem Balenciaga </w:t>
      </w:r>
      <w:r w:rsidR="00AC3D2A">
        <w:t>vorgeworfen wurde</w:t>
      </w:r>
      <w:r w:rsidR="0030364A">
        <w:t xml:space="preserve">, es </w:t>
      </w:r>
      <w:r w:rsidR="004777C0">
        <w:t>bekenne sich in einer Werbekampagne zur Pädophilie.</w:t>
      </w:r>
      <w:r w:rsidR="004046DA">
        <w:br w:type="page"/>
      </w:r>
    </w:p>
    <w:p w14:paraId="4A041896" w14:textId="24AC8A72" w:rsidR="00970948" w:rsidRDefault="00970948" w:rsidP="00C7426C">
      <w:r>
        <w:rPr>
          <w:noProof/>
        </w:rPr>
        <w:lastRenderedPageBreak/>
        <mc:AlternateContent>
          <mc:Choice Requires="wps">
            <w:drawing>
              <wp:anchor distT="0" distB="0" distL="114300" distR="114300" simplePos="0" relativeHeight="251665417" behindDoc="1" locked="0" layoutInCell="1" allowOverlap="1" wp14:anchorId="33DD552E" wp14:editId="1424AFE1">
                <wp:simplePos x="0" y="0"/>
                <wp:positionH relativeFrom="page">
                  <wp:posOffset>0</wp:posOffset>
                </wp:positionH>
                <wp:positionV relativeFrom="paragraph">
                  <wp:posOffset>-922944</wp:posOffset>
                </wp:positionV>
                <wp:extent cx="7566269" cy="10706260"/>
                <wp:effectExtent l="0" t="0" r="0" b="0"/>
                <wp:wrapNone/>
                <wp:docPr id="1157874589" name="Rechteck 1"/>
                <wp:cNvGraphicFramePr/>
                <a:graphic xmlns:a="http://schemas.openxmlformats.org/drawingml/2006/main">
                  <a:graphicData uri="http://schemas.microsoft.com/office/word/2010/wordprocessingShape">
                    <wps:wsp>
                      <wps:cNvSpPr/>
                      <wps:spPr>
                        <a:xfrm>
                          <a:off x="0" y="0"/>
                          <a:ext cx="7566269" cy="10706260"/>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708D3" id="Rechteck 1" o:spid="_x0000_s1026" style="position:absolute;margin-left:0;margin-top:-72.65pt;width:595.75pt;height:843pt;z-index:-2516510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" fillcolor="#8eaadb [1940]" stroked="f" strokeweight="1pt">
                <w10:wrap anchorx="page"/>
              </v:rect>
            </w:pict>
          </mc:Fallback>
        </mc:AlternateContent>
      </w:r>
      <w:r>
        <w:t xml:space="preserve"> </w:t>
      </w:r>
    </w:p>
    <w:p w14:paraId="7CE4D9B8" w14:textId="4296E465" w:rsidR="00970948" w:rsidRDefault="003C2B21" w:rsidP="00F0539E">
      <w:r>
        <w:rPr>
          <w:noProof/>
        </w:rPr>
        <w:drawing>
          <wp:inline distT="0" distB="0" distL="0" distR="0" wp14:anchorId="31C4D4CD" wp14:editId="4E6CDB05">
            <wp:extent cx="5760000" cy="1822222"/>
            <wp:effectExtent l="0" t="0" r="0" b="6985"/>
            <wp:docPr id="163288519" name="Grafik 2" descr="Ein Bild, das Schrift, Grafiken, Schwarz,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8519" name="Grafik 2" descr="Ein Bild, das Schrift, Grafiken, Schwarz, 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000" cy="1822222"/>
                    </a:xfrm>
                    <a:prstGeom prst="rect">
                      <a:avLst/>
                    </a:prstGeom>
                  </pic:spPr>
                </pic:pic>
              </a:graphicData>
            </a:graphic>
          </wp:inline>
        </w:drawing>
      </w:r>
    </w:p>
    <w:p w14:paraId="35C10C5D" w14:textId="1254F8D0" w:rsidR="00970948" w:rsidRDefault="009A2C07">
      <w:r>
        <w:rPr>
          <w:noProof/>
        </w:rPr>
        <mc:AlternateContent>
          <mc:Choice Requires="wps">
            <w:drawing>
              <wp:anchor distT="45720" distB="45720" distL="114300" distR="114300" simplePos="0" relativeHeight="251667465" behindDoc="1" locked="0" layoutInCell="1" allowOverlap="1" wp14:anchorId="60BF9129" wp14:editId="29498AF4">
                <wp:simplePos x="0" y="0"/>
                <wp:positionH relativeFrom="margin">
                  <wp:posOffset>1346835</wp:posOffset>
                </wp:positionH>
                <wp:positionV relativeFrom="paragraph">
                  <wp:posOffset>3329940</wp:posOffset>
                </wp:positionV>
                <wp:extent cx="3289300" cy="1404620"/>
                <wp:effectExtent l="0" t="0" r="6350" b="635"/>
                <wp:wrapNone/>
                <wp:docPr id="7459144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solidFill>
                          <a:schemeClr val="accent1">
                            <a:lumMod val="60000"/>
                            <a:lumOff val="40000"/>
                          </a:schemeClr>
                        </a:solidFill>
                        <a:ln w="9525">
                          <a:noFill/>
                          <a:miter lim="800000"/>
                          <a:headEnd/>
                          <a:tailEnd/>
                        </a:ln>
                      </wps:spPr>
                      <wps:txbx>
                        <w:txbxContent>
                          <w:p w14:paraId="32CB5EC6" w14:textId="706B94C3" w:rsidR="009A2C07" w:rsidRPr="00BB11DA" w:rsidRDefault="009A2C07" w:rsidP="009A2C07">
                            <w:pPr>
                              <w:pStyle w:val="berschrift1"/>
                              <w:rPr>
                                <w:color w:val="FFFFFF" w:themeColor="background1"/>
                                <w:sz w:val="60"/>
                                <w:szCs w:val="60"/>
                              </w:rPr>
                            </w:pPr>
                            <w:bookmarkStart w:id="11" w:name="_Toc156824939"/>
                            <w:r w:rsidRPr="00BB11DA">
                              <w:rPr>
                                <w:color w:val="FFFFFF" w:themeColor="background1"/>
                                <w:sz w:val="60"/>
                                <w:szCs w:val="60"/>
                              </w:rPr>
                              <w:t xml:space="preserve">Teil II: </w:t>
                            </w:r>
                            <w:proofErr w:type="spellStart"/>
                            <w:r w:rsidRPr="00BB11DA">
                              <w:rPr>
                                <w:color w:val="FFFFFF" w:themeColor="background1"/>
                                <w:sz w:val="60"/>
                                <w:szCs w:val="60"/>
                              </w:rPr>
                              <w:t>Financials</w:t>
                            </w:r>
                            <w:proofErr w:type="spellEnd"/>
                            <w:r w:rsidRPr="00BB11DA">
                              <w:rPr>
                                <w:color w:val="FFFFFF" w:themeColor="background1"/>
                                <w:sz w:val="60"/>
                                <w:szCs w:val="60"/>
                              </w:rPr>
                              <w:t xml:space="preserve"> und Bewertung</w:t>
                            </w:r>
                            <w:bookmarkEnd w:id="1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F9129" id="_x0000_s1032" type="#_x0000_t202" style="position:absolute;margin-left:106.05pt;margin-top:262.2pt;width:259pt;height:110.6pt;z-index:-25164901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" fillcolor="#8eaadb [1940]" stroked="f">
                <v:textbox style="mso-fit-shape-to-text:t">
                  <w:txbxContent>
                    <w:p w14:paraId="32CB5EC6" w14:textId="706B94C3" w:rsidR="009A2C07" w:rsidRPr="00BB11DA" w:rsidRDefault="009A2C07" w:rsidP="009A2C07">
                      <w:pPr>
                        <w:pStyle w:val="berschrift1"/>
                        <w:rPr>
                          <w:color w:val="FFFFFF" w:themeColor="background1"/>
                          <w:sz w:val="60"/>
                          <w:szCs w:val="60"/>
                        </w:rPr>
                      </w:pPr>
                      <w:bookmarkStart w:id="12" w:name="_Toc156824939"/>
                      <w:r w:rsidRPr="00BB11DA">
                        <w:rPr>
                          <w:color w:val="FFFFFF" w:themeColor="background1"/>
                          <w:sz w:val="60"/>
                          <w:szCs w:val="60"/>
                        </w:rPr>
                        <w:t xml:space="preserve">Teil II: </w:t>
                      </w:r>
                      <w:proofErr w:type="spellStart"/>
                      <w:r w:rsidRPr="00BB11DA">
                        <w:rPr>
                          <w:color w:val="FFFFFF" w:themeColor="background1"/>
                          <w:sz w:val="60"/>
                          <w:szCs w:val="60"/>
                        </w:rPr>
                        <w:t>Financials</w:t>
                      </w:r>
                      <w:proofErr w:type="spellEnd"/>
                      <w:r w:rsidRPr="00BB11DA">
                        <w:rPr>
                          <w:color w:val="FFFFFF" w:themeColor="background1"/>
                          <w:sz w:val="60"/>
                          <w:szCs w:val="60"/>
                        </w:rPr>
                        <w:t xml:space="preserve"> und Bewertung</w:t>
                      </w:r>
                      <w:bookmarkEnd w:id="12"/>
                    </w:p>
                  </w:txbxContent>
                </v:textbox>
                <w10:wrap anchorx="margin"/>
              </v:shape>
            </w:pict>
          </mc:Fallback>
        </mc:AlternateContent>
      </w:r>
      <w:r w:rsidR="00970948">
        <w:br w:type="page"/>
      </w:r>
    </w:p>
    <w:p w14:paraId="2A9DFE4F" w14:textId="77777777" w:rsidR="004046DA" w:rsidRDefault="004046DA" w:rsidP="00F0539E"/>
    <w:p w14:paraId="74C7B5C6" w14:textId="30FD6DF6" w:rsidR="00B47066" w:rsidRDefault="004046DA" w:rsidP="00B47066">
      <w:pPr>
        <w:pStyle w:val="berschrift2"/>
      </w:pPr>
      <w:bookmarkStart w:id="13" w:name="_Toc156824940"/>
      <w:r>
        <w:t>Kering Profil</w:t>
      </w:r>
      <w:bookmarkEnd w:id="13"/>
    </w:p>
    <w:p w14:paraId="05704007" w14:textId="77777777" w:rsidR="00B47066" w:rsidRDefault="00B47066">
      <w:pPr>
        <w:rPr>
          <w:rFonts w:asciiTheme="majorHAnsi" w:eastAsiaTheme="majorEastAsia" w:hAnsiTheme="majorHAnsi" w:cstheme="majorBidi"/>
          <w:b/>
          <w:bCs/>
          <w:sz w:val="26"/>
          <w:szCs w:val="26"/>
        </w:rPr>
      </w:pPr>
      <w:r>
        <w:br w:type="page"/>
      </w:r>
    </w:p>
    <w:p w14:paraId="727FEEEA" w14:textId="0CE7E53C" w:rsidR="00E4255B" w:rsidRDefault="00B47066" w:rsidP="0040746E">
      <w:pPr>
        <w:pStyle w:val="berschrift2"/>
      </w:pPr>
      <w:bookmarkStart w:id="14" w:name="_Toc156824941"/>
      <w:r w:rsidRPr="0040746E">
        <w:lastRenderedPageBreak/>
        <w:t>Marken und Produkte</w:t>
      </w:r>
      <w:bookmarkEnd w:id="14"/>
      <w:r w:rsidRPr="0040746E">
        <w:t xml:space="preserve"> </w:t>
      </w:r>
    </w:p>
    <w:p w14:paraId="3751DB88" w14:textId="77777777" w:rsidR="00E4255B" w:rsidRDefault="00E4255B">
      <w:pPr>
        <w:rPr>
          <w:rFonts w:asciiTheme="majorHAnsi" w:eastAsiaTheme="majorEastAsia" w:hAnsiTheme="majorHAnsi" w:cstheme="majorBidi"/>
          <w:b/>
          <w:bCs/>
          <w:sz w:val="26"/>
          <w:szCs w:val="26"/>
        </w:rPr>
      </w:pPr>
      <w:r>
        <w:br w:type="page"/>
      </w:r>
    </w:p>
    <w:p w14:paraId="774E2B81" w14:textId="60D2102F" w:rsidR="004D37A1" w:rsidRDefault="004D37A1" w:rsidP="004D37A1">
      <w:pPr>
        <w:pStyle w:val="berschrift2"/>
      </w:pPr>
      <w:bookmarkStart w:id="15" w:name="_Toc156824942"/>
      <w:proofErr w:type="spellStart"/>
      <w:r w:rsidRPr="004D37A1">
        <w:lastRenderedPageBreak/>
        <w:t>Kerings</w:t>
      </w:r>
      <w:proofErr w:type="spellEnd"/>
      <w:r w:rsidRPr="004D37A1">
        <w:t xml:space="preserve"> Aktie</w:t>
      </w:r>
      <w:bookmarkEnd w:id="15"/>
    </w:p>
    <w:p w14:paraId="75C3D581" w14:textId="77777777" w:rsidR="004D37A1" w:rsidRDefault="004D37A1">
      <w:pPr>
        <w:rPr>
          <w:rFonts w:asciiTheme="majorHAnsi" w:eastAsiaTheme="majorEastAsia" w:hAnsiTheme="majorHAnsi" w:cstheme="majorBidi"/>
          <w:b/>
          <w:bCs/>
          <w:sz w:val="26"/>
          <w:szCs w:val="26"/>
        </w:rPr>
      </w:pPr>
      <w:r>
        <w:br w:type="page"/>
      </w:r>
    </w:p>
    <w:p w14:paraId="0A1EF60D" w14:textId="4BE8DA15" w:rsidR="00F35305" w:rsidRPr="00167635" w:rsidRDefault="00F35305" w:rsidP="004D37A1">
      <w:pPr>
        <w:pStyle w:val="berschrift2"/>
        <w:rPr>
          <w:lang w:val="en-US"/>
        </w:rPr>
      </w:pPr>
      <w:bookmarkStart w:id="16" w:name="_Toc156824943"/>
      <w:r w:rsidRPr="00167635">
        <w:rPr>
          <w:lang w:val="en-US"/>
        </w:rPr>
        <w:lastRenderedPageBreak/>
        <w:t>Income Statement</w:t>
      </w:r>
      <w:bookmarkEnd w:id="16"/>
    </w:p>
    <w:p w14:paraId="5410B062" w14:textId="77777777" w:rsidR="00F35305" w:rsidRPr="00167635" w:rsidRDefault="00F35305">
      <w:pPr>
        <w:rPr>
          <w:rFonts w:asciiTheme="majorHAnsi" w:eastAsiaTheme="majorEastAsia" w:hAnsiTheme="majorHAnsi" w:cstheme="majorBidi"/>
          <w:b/>
          <w:bCs/>
          <w:sz w:val="26"/>
          <w:szCs w:val="26"/>
          <w:lang w:val="en-US"/>
        </w:rPr>
      </w:pPr>
      <w:r w:rsidRPr="00167635">
        <w:rPr>
          <w:lang w:val="en-US"/>
        </w:rPr>
        <w:br w:type="page"/>
      </w:r>
    </w:p>
    <w:p w14:paraId="75EAC5F9" w14:textId="04ABBFC7" w:rsidR="00F35305" w:rsidRPr="00167635" w:rsidRDefault="00F35305" w:rsidP="004D37A1">
      <w:pPr>
        <w:pStyle w:val="berschrift2"/>
        <w:rPr>
          <w:lang w:val="en-US"/>
        </w:rPr>
      </w:pPr>
      <w:bookmarkStart w:id="17" w:name="_Toc156824944"/>
      <w:r w:rsidRPr="00167635">
        <w:rPr>
          <w:lang w:val="en-US"/>
        </w:rPr>
        <w:lastRenderedPageBreak/>
        <w:t>Balance Sheet</w:t>
      </w:r>
      <w:bookmarkEnd w:id="17"/>
    </w:p>
    <w:p w14:paraId="370DAEDB" w14:textId="77777777" w:rsidR="00F35305" w:rsidRPr="00167635" w:rsidRDefault="00F35305">
      <w:pPr>
        <w:rPr>
          <w:rFonts w:asciiTheme="majorHAnsi" w:eastAsiaTheme="majorEastAsia" w:hAnsiTheme="majorHAnsi" w:cstheme="majorBidi"/>
          <w:b/>
          <w:bCs/>
          <w:sz w:val="26"/>
          <w:szCs w:val="26"/>
          <w:lang w:val="en-US"/>
        </w:rPr>
      </w:pPr>
      <w:r w:rsidRPr="00167635">
        <w:rPr>
          <w:lang w:val="en-US"/>
        </w:rPr>
        <w:br w:type="page"/>
      </w:r>
    </w:p>
    <w:p w14:paraId="30FCAE88" w14:textId="625F7F83" w:rsidR="00F35305" w:rsidRPr="00167635" w:rsidRDefault="00F35305" w:rsidP="004D37A1">
      <w:pPr>
        <w:pStyle w:val="berschrift2"/>
        <w:rPr>
          <w:lang w:val="en-US"/>
        </w:rPr>
      </w:pPr>
      <w:bookmarkStart w:id="18" w:name="_Toc156824945"/>
      <w:r w:rsidRPr="00167635">
        <w:rPr>
          <w:lang w:val="en-US"/>
        </w:rPr>
        <w:lastRenderedPageBreak/>
        <w:t xml:space="preserve">Cash Flow </w:t>
      </w:r>
      <w:proofErr w:type="spellStart"/>
      <w:r w:rsidRPr="00167635">
        <w:rPr>
          <w:lang w:val="en-US"/>
        </w:rPr>
        <w:t>Satement</w:t>
      </w:r>
      <w:bookmarkEnd w:id="18"/>
      <w:proofErr w:type="spellEnd"/>
    </w:p>
    <w:p w14:paraId="24228C8B" w14:textId="77777777" w:rsidR="00F35305" w:rsidRPr="00167635" w:rsidRDefault="00F35305">
      <w:pPr>
        <w:rPr>
          <w:rFonts w:asciiTheme="majorHAnsi" w:eastAsiaTheme="majorEastAsia" w:hAnsiTheme="majorHAnsi" w:cstheme="majorBidi"/>
          <w:b/>
          <w:bCs/>
          <w:sz w:val="26"/>
          <w:szCs w:val="26"/>
          <w:lang w:val="en-US"/>
        </w:rPr>
      </w:pPr>
      <w:r w:rsidRPr="00167635">
        <w:rPr>
          <w:lang w:val="en-US"/>
        </w:rPr>
        <w:br w:type="page"/>
      </w:r>
    </w:p>
    <w:p w14:paraId="39C3E52B" w14:textId="1DCC99B9" w:rsidR="00167635" w:rsidRPr="00167635" w:rsidRDefault="00167635" w:rsidP="004D37A1">
      <w:pPr>
        <w:pStyle w:val="berschrift2"/>
        <w:rPr>
          <w:lang w:val="en-US"/>
        </w:rPr>
      </w:pPr>
      <w:bookmarkStart w:id="19" w:name="_Toc156824946"/>
      <w:r w:rsidRPr="00167635">
        <w:rPr>
          <w:lang w:val="en-US"/>
        </w:rPr>
        <w:lastRenderedPageBreak/>
        <w:t xml:space="preserve">Ratios und </w:t>
      </w:r>
      <w:proofErr w:type="spellStart"/>
      <w:r w:rsidRPr="00167635">
        <w:rPr>
          <w:lang w:val="en-US"/>
        </w:rPr>
        <w:t>Bewertungs</w:t>
      </w:r>
      <w:proofErr w:type="spellEnd"/>
      <w:r w:rsidRPr="00167635">
        <w:rPr>
          <w:lang w:val="en-US"/>
        </w:rPr>
        <w:t>-Multiples</w:t>
      </w:r>
      <w:bookmarkEnd w:id="19"/>
    </w:p>
    <w:p w14:paraId="4D320F2B" w14:textId="77777777" w:rsidR="00167635" w:rsidRPr="00167635" w:rsidRDefault="00167635">
      <w:pPr>
        <w:rPr>
          <w:rFonts w:asciiTheme="majorHAnsi" w:eastAsiaTheme="majorEastAsia" w:hAnsiTheme="majorHAnsi" w:cstheme="majorBidi"/>
          <w:b/>
          <w:bCs/>
          <w:sz w:val="26"/>
          <w:szCs w:val="26"/>
          <w:lang w:val="en-US"/>
        </w:rPr>
      </w:pPr>
      <w:r w:rsidRPr="00167635">
        <w:rPr>
          <w:lang w:val="en-US"/>
        </w:rPr>
        <w:br w:type="page"/>
      </w:r>
    </w:p>
    <w:p w14:paraId="7441DD1D" w14:textId="79DB7145" w:rsidR="00167635" w:rsidRDefault="00167635" w:rsidP="004D37A1">
      <w:pPr>
        <w:pStyle w:val="berschrift2"/>
        <w:rPr>
          <w:lang w:val="en-US"/>
        </w:rPr>
      </w:pPr>
      <w:bookmarkStart w:id="20" w:name="_Toc156824947"/>
      <w:r>
        <w:rPr>
          <w:lang w:val="en-US"/>
        </w:rPr>
        <w:lastRenderedPageBreak/>
        <w:t>Relative-Valuation Modell</w:t>
      </w:r>
      <w:bookmarkEnd w:id="20"/>
      <w:r>
        <w:rPr>
          <w:lang w:val="en-US"/>
        </w:rPr>
        <w:t xml:space="preserve"> </w:t>
      </w:r>
    </w:p>
    <w:p w14:paraId="72955F52" w14:textId="77777777" w:rsidR="00167635" w:rsidRDefault="00167635">
      <w:pPr>
        <w:rPr>
          <w:rFonts w:asciiTheme="majorHAnsi" w:eastAsiaTheme="majorEastAsia" w:hAnsiTheme="majorHAnsi" w:cstheme="majorBidi"/>
          <w:b/>
          <w:bCs/>
          <w:sz w:val="26"/>
          <w:szCs w:val="26"/>
          <w:lang w:val="en-US"/>
        </w:rPr>
      </w:pPr>
      <w:r>
        <w:rPr>
          <w:lang w:val="en-US"/>
        </w:rPr>
        <w:br w:type="page"/>
      </w:r>
    </w:p>
    <w:p w14:paraId="120C3860" w14:textId="059D6B0C" w:rsidR="00DA65A8" w:rsidRDefault="00167635" w:rsidP="004D37A1">
      <w:pPr>
        <w:pStyle w:val="berschrift2"/>
        <w:rPr>
          <w:lang w:val="en-US"/>
        </w:rPr>
      </w:pPr>
      <w:bookmarkStart w:id="21" w:name="_Toc156824948"/>
      <w:r>
        <w:rPr>
          <w:lang w:val="en-US"/>
        </w:rPr>
        <w:lastRenderedPageBreak/>
        <w:t>Kering DCF</w:t>
      </w:r>
      <w:bookmarkEnd w:id="21"/>
    </w:p>
    <w:p w14:paraId="03205207" w14:textId="77777777" w:rsidR="00DA65A8" w:rsidRDefault="00DA65A8">
      <w:pPr>
        <w:rPr>
          <w:rFonts w:asciiTheme="majorHAnsi" w:eastAsiaTheme="majorEastAsia" w:hAnsiTheme="majorHAnsi" w:cstheme="majorBidi"/>
          <w:b/>
          <w:bCs/>
          <w:sz w:val="26"/>
          <w:szCs w:val="26"/>
          <w:lang w:val="en-US"/>
        </w:rPr>
      </w:pPr>
      <w:r>
        <w:rPr>
          <w:lang w:val="en-US"/>
        </w:rPr>
        <w:br w:type="page"/>
      </w:r>
    </w:p>
    <w:p w14:paraId="404080E3" w14:textId="039B1511" w:rsidR="00DA65A8" w:rsidRDefault="00DA65A8" w:rsidP="00DA65A8">
      <w:pPr>
        <w:pStyle w:val="berschrift3"/>
        <w:rPr>
          <w:lang w:val="en-US"/>
        </w:rPr>
      </w:pPr>
      <w:bookmarkStart w:id="22" w:name="_Toc156824949"/>
      <w:r>
        <w:rPr>
          <w:lang w:val="en-US"/>
        </w:rPr>
        <w:lastRenderedPageBreak/>
        <w:t>Annahmen Income Statement</w:t>
      </w:r>
      <w:bookmarkEnd w:id="22"/>
      <w:r>
        <w:rPr>
          <w:lang w:val="en-US"/>
        </w:rPr>
        <w:t xml:space="preserve"> </w:t>
      </w:r>
    </w:p>
    <w:p w14:paraId="6F83ECCA" w14:textId="77777777" w:rsidR="00DA65A8" w:rsidRDefault="00DA65A8">
      <w:pPr>
        <w:rPr>
          <w:noProof/>
          <w:lang w:val="en-US"/>
        </w:rPr>
      </w:pPr>
      <w:r>
        <w:rPr>
          <w:lang w:val="en-US"/>
        </w:rPr>
        <w:br w:type="page"/>
      </w:r>
    </w:p>
    <w:p w14:paraId="7793FE98" w14:textId="25A76470" w:rsidR="006D74C5" w:rsidRDefault="006D74C5" w:rsidP="00DA65A8">
      <w:pPr>
        <w:pStyle w:val="berschrift3"/>
        <w:rPr>
          <w:lang w:val="en-US"/>
        </w:rPr>
      </w:pPr>
      <w:bookmarkStart w:id="23" w:name="_Toc156824950"/>
      <w:r>
        <w:rPr>
          <w:lang w:val="en-US"/>
        </w:rPr>
        <w:lastRenderedPageBreak/>
        <w:t>Working Capital Scheduele</w:t>
      </w:r>
      <w:bookmarkEnd w:id="23"/>
    </w:p>
    <w:p w14:paraId="21C4F4A8" w14:textId="77777777" w:rsidR="006D74C5" w:rsidRDefault="006D74C5">
      <w:pPr>
        <w:rPr>
          <w:noProof/>
          <w:lang w:val="en-US"/>
        </w:rPr>
      </w:pPr>
      <w:r>
        <w:rPr>
          <w:lang w:val="en-US"/>
        </w:rPr>
        <w:br w:type="page"/>
      </w:r>
    </w:p>
    <w:p w14:paraId="04C8C7D8" w14:textId="669D37E1" w:rsidR="006D74C5" w:rsidRDefault="006D74C5" w:rsidP="00DA65A8">
      <w:pPr>
        <w:pStyle w:val="berschrift3"/>
        <w:rPr>
          <w:lang w:val="en-US"/>
        </w:rPr>
      </w:pPr>
      <w:bookmarkStart w:id="24" w:name="_Toc156824951"/>
      <w:r>
        <w:rPr>
          <w:lang w:val="en-US"/>
        </w:rPr>
        <w:lastRenderedPageBreak/>
        <w:t>Fixed Assests Scheduele</w:t>
      </w:r>
      <w:bookmarkEnd w:id="24"/>
    </w:p>
    <w:p w14:paraId="3875A920" w14:textId="77777777" w:rsidR="006D74C5" w:rsidRDefault="006D74C5">
      <w:pPr>
        <w:rPr>
          <w:noProof/>
          <w:lang w:val="en-US"/>
        </w:rPr>
      </w:pPr>
      <w:r>
        <w:rPr>
          <w:lang w:val="en-US"/>
        </w:rPr>
        <w:br w:type="page"/>
      </w:r>
    </w:p>
    <w:p w14:paraId="2569CAFE" w14:textId="78C176ED" w:rsidR="002A304F" w:rsidRDefault="002A304F" w:rsidP="00DA65A8">
      <w:pPr>
        <w:pStyle w:val="berschrift3"/>
        <w:rPr>
          <w:lang w:val="en-US"/>
        </w:rPr>
      </w:pPr>
      <w:bookmarkStart w:id="25" w:name="_Toc156824952"/>
      <w:r>
        <w:rPr>
          <w:lang w:val="en-US"/>
        </w:rPr>
        <w:lastRenderedPageBreak/>
        <w:t>Debt Scheduele</w:t>
      </w:r>
      <w:bookmarkEnd w:id="25"/>
      <w:r>
        <w:rPr>
          <w:lang w:val="en-US"/>
        </w:rPr>
        <w:t xml:space="preserve"> </w:t>
      </w:r>
    </w:p>
    <w:p w14:paraId="30FC557D" w14:textId="77777777" w:rsidR="002A304F" w:rsidRDefault="002A304F">
      <w:pPr>
        <w:rPr>
          <w:noProof/>
          <w:lang w:val="en-US"/>
        </w:rPr>
      </w:pPr>
      <w:r>
        <w:rPr>
          <w:lang w:val="en-US"/>
        </w:rPr>
        <w:br w:type="page"/>
      </w:r>
    </w:p>
    <w:p w14:paraId="1B85D823" w14:textId="170BCA20" w:rsidR="002A304F" w:rsidRDefault="002A304F" w:rsidP="00DA65A8">
      <w:pPr>
        <w:pStyle w:val="berschrift3"/>
        <w:rPr>
          <w:lang w:val="en-US"/>
        </w:rPr>
      </w:pPr>
      <w:bookmarkStart w:id="26" w:name="_Toc156824953"/>
      <w:r>
        <w:rPr>
          <w:lang w:val="en-US"/>
        </w:rPr>
        <w:lastRenderedPageBreak/>
        <w:t>Discount Rates</w:t>
      </w:r>
      <w:bookmarkEnd w:id="26"/>
    </w:p>
    <w:p w14:paraId="3A55E1A0" w14:textId="77777777" w:rsidR="002A304F" w:rsidRDefault="002A304F">
      <w:pPr>
        <w:rPr>
          <w:noProof/>
          <w:lang w:val="en-US"/>
        </w:rPr>
      </w:pPr>
      <w:r>
        <w:rPr>
          <w:lang w:val="en-US"/>
        </w:rPr>
        <w:br w:type="page"/>
      </w:r>
    </w:p>
    <w:p w14:paraId="36B34932" w14:textId="693B2286" w:rsidR="002A304F" w:rsidRDefault="002A304F" w:rsidP="00DA65A8">
      <w:pPr>
        <w:pStyle w:val="berschrift3"/>
        <w:rPr>
          <w:lang w:val="en-US"/>
        </w:rPr>
      </w:pPr>
    </w:p>
    <w:p w14:paraId="1CA86E83" w14:textId="77777777" w:rsidR="002A304F" w:rsidRDefault="002A304F">
      <w:pPr>
        <w:rPr>
          <w:noProof/>
          <w:lang w:val="en-US"/>
        </w:rPr>
      </w:pPr>
      <w:r>
        <w:rPr>
          <w:lang w:val="en-US"/>
        </w:rPr>
        <w:br w:type="page"/>
      </w:r>
    </w:p>
    <w:p w14:paraId="02C56187" w14:textId="77777777" w:rsidR="0040746E" w:rsidRPr="00167635" w:rsidRDefault="0040746E" w:rsidP="00DA65A8">
      <w:pPr>
        <w:pStyle w:val="berschrift3"/>
        <w:rPr>
          <w:lang w:val="en-US"/>
        </w:rPr>
      </w:pPr>
    </w:p>
    <w:p w14:paraId="10BD7437" w14:textId="7115F483" w:rsidR="00F0539E" w:rsidRPr="00167635" w:rsidRDefault="00F0539E" w:rsidP="002814FF">
      <w:pPr>
        <w:rPr>
          <w:lang w:val="en-US"/>
        </w:rPr>
      </w:pPr>
    </w:p>
    <w:p w14:paraId="55445CD8" w14:textId="77777777" w:rsidR="002814FF" w:rsidRPr="00167635" w:rsidRDefault="002814FF" w:rsidP="002814FF">
      <w:pPr>
        <w:rPr>
          <w:lang w:val="en-US"/>
        </w:rPr>
      </w:pPr>
    </w:p>
    <w:p w14:paraId="429E97A5" w14:textId="77777777" w:rsidR="002814FF" w:rsidRPr="00167635" w:rsidRDefault="002814FF" w:rsidP="002814FF">
      <w:pPr>
        <w:rPr>
          <w:lang w:val="en-US"/>
        </w:rPr>
      </w:pPr>
    </w:p>
    <w:p w14:paraId="680D6FD3" w14:textId="77777777" w:rsidR="002814FF" w:rsidRPr="00167635" w:rsidRDefault="002814FF" w:rsidP="002814FF">
      <w:pPr>
        <w:rPr>
          <w:lang w:val="en-US"/>
        </w:rPr>
      </w:pPr>
    </w:p>
    <w:p w14:paraId="0584B0B2" w14:textId="77777777" w:rsidR="002814FF" w:rsidRPr="00167635" w:rsidRDefault="002814FF" w:rsidP="002814FF">
      <w:pPr>
        <w:rPr>
          <w:lang w:val="en-US"/>
        </w:rPr>
      </w:pPr>
    </w:p>
    <w:p w14:paraId="6B7669FB" w14:textId="77777777" w:rsidR="002814FF" w:rsidRPr="00167635" w:rsidRDefault="002814FF" w:rsidP="002814FF">
      <w:pPr>
        <w:rPr>
          <w:lang w:val="en-US"/>
        </w:rPr>
      </w:pPr>
    </w:p>
    <w:p w14:paraId="206A173D" w14:textId="77777777" w:rsidR="002814FF" w:rsidRPr="00167635" w:rsidRDefault="002814FF" w:rsidP="002814FF">
      <w:pPr>
        <w:rPr>
          <w:lang w:val="en-US"/>
        </w:rPr>
      </w:pPr>
    </w:p>
    <w:p w14:paraId="1EDB0DAD" w14:textId="77777777" w:rsidR="002814FF" w:rsidRPr="00167635" w:rsidRDefault="002814FF" w:rsidP="002814FF">
      <w:pPr>
        <w:rPr>
          <w:lang w:val="en-US"/>
        </w:rPr>
      </w:pPr>
    </w:p>
    <w:p w14:paraId="5940F948" w14:textId="77777777" w:rsidR="002814FF" w:rsidRPr="00167635" w:rsidRDefault="002814FF" w:rsidP="002814FF">
      <w:pPr>
        <w:rPr>
          <w:lang w:val="en-US"/>
        </w:rPr>
      </w:pPr>
    </w:p>
    <w:p w14:paraId="47FEDE5E" w14:textId="77777777" w:rsidR="002814FF" w:rsidRPr="00167635" w:rsidRDefault="002814FF" w:rsidP="002814FF">
      <w:pPr>
        <w:rPr>
          <w:lang w:val="en-US"/>
        </w:rPr>
      </w:pPr>
    </w:p>
    <w:p w14:paraId="48A2A39F" w14:textId="77777777" w:rsidR="002814FF" w:rsidRPr="00167635" w:rsidRDefault="002814FF" w:rsidP="002814FF">
      <w:pPr>
        <w:rPr>
          <w:lang w:val="en-US"/>
        </w:rPr>
      </w:pPr>
    </w:p>
    <w:p w14:paraId="21A648AD" w14:textId="77777777" w:rsidR="002814FF" w:rsidRPr="00167635" w:rsidRDefault="002814FF" w:rsidP="002814FF">
      <w:pPr>
        <w:rPr>
          <w:lang w:val="en-US"/>
        </w:rPr>
      </w:pPr>
    </w:p>
    <w:p w14:paraId="1FDC0D2C" w14:textId="77777777" w:rsidR="002814FF" w:rsidRPr="00167635" w:rsidRDefault="002814FF" w:rsidP="002814FF">
      <w:pPr>
        <w:rPr>
          <w:lang w:val="en-US"/>
        </w:rPr>
      </w:pPr>
    </w:p>
    <w:p w14:paraId="7E200351" w14:textId="77777777" w:rsidR="002814FF" w:rsidRPr="00167635" w:rsidRDefault="002814FF" w:rsidP="002814FF">
      <w:pPr>
        <w:rPr>
          <w:lang w:val="en-US"/>
        </w:rPr>
      </w:pPr>
    </w:p>
    <w:p w14:paraId="16CBED7A" w14:textId="77777777" w:rsidR="002814FF" w:rsidRPr="00167635" w:rsidRDefault="002814FF" w:rsidP="002814FF">
      <w:pPr>
        <w:rPr>
          <w:lang w:val="en-US"/>
        </w:rPr>
      </w:pPr>
    </w:p>
    <w:p w14:paraId="5748B652" w14:textId="77777777" w:rsidR="002814FF" w:rsidRPr="00167635" w:rsidRDefault="002814FF" w:rsidP="002814FF">
      <w:pPr>
        <w:rPr>
          <w:rFonts w:asciiTheme="majorHAnsi" w:eastAsiaTheme="majorEastAsia" w:hAnsiTheme="majorHAnsi" w:cstheme="majorBidi"/>
          <w:b/>
          <w:bCs/>
          <w:sz w:val="26"/>
          <w:szCs w:val="26"/>
          <w:lang w:val="en-US"/>
        </w:rPr>
      </w:pPr>
    </w:p>
    <w:p w14:paraId="1C1DA41A" w14:textId="77777777" w:rsidR="00F0539E" w:rsidRPr="00167635" w:rsidRDefault="00F0539E" w:rsidP="00FB5CCD">
      <w:pPr>
        <w:pStyle w:val="berschrift2"/>
        <w:rPr>
          <w:lang w:val="en-US"/>
        </w:rPr>
      </w:pPr>
    </w:p>
    <w:p w14:paraId="31B94EF6" w14:textId="77777777" w:rsidR="002814FF" w:rsidRPr="00167635" w:rsidRDefault="002814FF" w:rsidP="002814FF">
      <w:pPr>
        <w:rPr>
          <w:lang w:val="en-US"/>
        </w:rPr>
      </w:pPr>
    </w:p>
    <w:p w14:paraId="64044E3B" w14:textId="77777777" w:rsidR="002814FF" w:rsidRPr="00167635" w:rsidRDefault="002814FF" w:rsidP="002814FF">
      <w:pPr>
        <w:rPr>
          <w:lang w:val="en-US"/>
        </w:rPr>
      </w:pPr>
    </w:p>
    <w:p w14:paraId="15AB06C3" w14:textId="77777777" w:rsidR="002814FF" w:rsidRPr="00167635" w:rsidRDefault="002814FF" w:rsidP="002814FF">
      <w:pPr>
        <w:rPr>
          <w:lang w:val="en-US"/>
        </w:rPr>
      </w:pPr>
    </w:p>
    <w:p w14:paraId="75087076" w14:textId="77777777" w:rsidR="002814FF" w:rsidRPr="00167635" w:rsidRDefault="002814FF" w:rsidP="002814FF">
      <w:pPr>
        <w:rPr>
          <w:lang w:val="en-US"/>
        </w:rPr>
      </w:pPr>
    </w:p>
    <w:p w14:paraId="3295DAAB" w14:textId="77777777" w:rsidR="002814FF" w:rsidRPr="00167635" w:rsidRDefault="002814FF" w:rsidP="002814FF">
      <w:pPr>
        <w:rPr>
          <w:lang w:val="en-US"/>
        </w:rPr>
      </w:pPr>
    </w:p>
    <w:p w14:paraId="2B408A9F" w14:textId="77777777" w:rsidR="002814FF" w:rsidRPr="00167635" w:rsidRDefault="002814FF" w:rsidP="00FB5CCD">
      <w:pPr>
        <w:pStyle w:val="berschrift2"/>
        <w:rPr>
          <w:lang w:val="en-US"/>
        </w:rPr>
      </w:pPr>
    </w:p>
    <w:p w14:paraId="79238A97" w14:textId="77777777" w:rsidR="002814FF" w:rsidRPr="00167635" w:rsidRDefault="002814FF" w:rsidP="002814FF">
      <w:pPr>
        <w:rPr>
          <w:lang w:val="en-US"/>
        </w:rPr>
      </w:pPr>
    </w:p>
    <w:p w14:paraId="103A0D94" w14:textId="77777777" w:rsidR="002814FF" w:rsidRPr="00167635" w:rsidRDefault="002814FF" w:rsidP="002814FF">
      <w:pPr>
        <w:rPr>
          <w:lang w:val="en-US"/>
        </w:rPr>
      </w:pPr>
    </w:p>
    <w:p w14:paraId="6EEDBE5C" w14:textId="77777777" w:rsidR="002814FF" w:rsidRPr="00167635" w:rsidRDefault="002814FF" w:rsidP="002814FF">
      <w:pPr>
        <w:rPr>
          <w:lang w:val="en-US"/>
        </w:rPr>
      </w:pPr>
    </w:p>
    <w:p w14:paraId="4A4A8577" w14:textId="77777777" w:rsidR="002814FF" w:rsidRPr="00167635" w:rsidRDefault="002814FF" w:rsidP="002814FF">
      <w:pPr>
        <w:rPr>
          <w:lang w:val="en-US"/>
        </w:rPr>
      </w:pPr>
    </w:p>
    <w:p w14:paraId="17809D1A" w14:textId="77777777" w:rsidR="002814FF" w:rsidRPr="00167635" w:rsidRDefault="002814FF" w:rsidP="002814FF">
      <w:pPr>
        <w:rPr>
          <w:lang w:val="en-US"/>
        </w:rPr>
      </w:pPr>
    </w:p>
    <w:p w14:paraId="7221871A" w14:textId="77777777" w:rsidR="002814FF" w:rsidRPr="00167635" w:rsidRDefault="002814FF" w:rsidP="002814FF">
      <w:pPr>
        <w:rPr>
          <w:lang w:val="en-US"/>
        </w:rPr>
      </w:pPr>
    </w:p>
    <w:p w14:paraId="05E09DAD" w14:textId="77777777" w:rsidR="002814FF" w:rsidRPr="00167635" w:rsidRDefault="002814FF" w:rsidP="002814FF">
      <w:pPr>
        <w:rPr>
          <w:lang w:val="en-US"/>
        </w:rPr>
      </w:pPr>
    </w:p>
    <w:p w14:paraId="497BB76F" w14:textId="321D73B7" w:rsidR="00B74F47" w:rsidRPr="00167635" w:rsidRDefault="00B74F47" w:rsidP="002814FF">
      <w:pPr>
        <w:rPr>
          <w:lang w:val="en-US"/>
        </w:rPr>
      </w:pPr>
    </w:p>
    <w:p w14:paraId="2EED10D8" w14:textId="111AEF60" w:rsidR="00B74F47" w:rsidRPr="00167635" w:rsidRDefault="00AB00BD">
      <w:pPr>
        <w:rPr>
          <w:lang w:val="en-US"/>
        </w:rPr>
      </w:pPr>
      <w:r>
        <w:rPr>
          <w:noProof/>
        </w:rPr>
        <w:lastRenderedPageBreak/>
        <w:drawing>
          <wp:anchor distT="0" distB="0" distL="114300" distR="114300" simplePos="0" relativeHeight="251669513" behindDoc="0" locked="0" layoutInCell="1" allowOverlap="1" wp14:anchorId="4D2F6975" wp14:editId="1E2FE1BF">
            <wp:simplePos x="0" y="0"/>
            <wp:positionH relativeFrom="margin">
              <wp:posOffset>-215265</wp:posOffset>
            </wp:positionH>
            <wp:positionV relativeFrom="paragraph">
              <wp:posOffset>137867</wp:posOffset>
            </wp:positionV>
            <wp:extent cx="5759450" cy="1821815"/>
            <wp:effectExtent l="0" t="0" r="0" b="6985"/>
            <wp:wrapNone/>
            <wp:docPr id="851720181" name="Grafik 4" descr="Ein Bild, das Schrift, Grafiken, Schwarz,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20181" name="Grafik 4" descr="Ein Bild, das Schrift, Grafiken, Schwarz, 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59450" cy="1821815"/>
                    </a:xfrm>
                    <a:prstGeom prst="rect">
                      <a:avLst/>
                    </a:prstGeom>
                  </pic:spPr>
                </pic:pic>
              </a:graphicData>
            </a:graphic>
            <wp14:sizeRelH relativeFrom="margin">
              <wp14:pctWidth>0</wp14:pctWidth>
            </wp14:sizeRelH>
            <wp14:sizeRelV relativeFrom="margin">
              <wp14:pctHeight>0</wp14:pctHeight>
            </wp14:sizeRelV>
          </wp:anchor>
        </w:drawing>
      </w:r>
      <w:r w:rsidR="00656D2C">
        <w:rPr>
          <w:noProof/>
        </w:rPr>
        <mc:AlternateContent>
          <mc:Choice Requires="wps">
            <w:drawing>
              <wp:anchor distT="0" distB="0" distL="114300" distR="114300" simplePos="0" relativeHeight="251668489" behindDoc="0" locked="0" layoutInCell="1" allowOverlap="1" wp14:anchorId="60CF47BB" wp14:editId="515DFC3B">
                <wp:simplePos x="0" y="0"/>
                <wp:positionH relativeFrom="page">
                  <wp:posOffset>0</wp:posOffset>
                </wp:positionH>
                <wp:positionV relativeFrom="paragraph">
                  <wp:posOffset>-927930</wp:posOffset>
                </wp:positionV>
                <wp:extent cx="7543800" cy="10926103"/>
                <wp:effectExtent l="0" t="0" r="0" b="8890"/>
                <wp:wrapNone/>
                <wp:docPr id="1778682849" name="Rechteck 3"/>
                <wp:cNvGraphicFramePr/>
                <a:graphic xmlns:a="http://schemas.openxmlformats.org/drawingml/2006/main">
                  <a:graphicData uri="http://schemas.microsoft.com/office/word/2010/wordprocessingShape">
                    <wps:wsp>
                      <wps:cNvSpPr/>
                      <wps:spPr>
                        <a:xfrm>
                          <a:off x="0" y="0"/>
                          <a:ext cx="7543800" cy="10926103"/>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D1ECF" id="Rechteck 3" o:spid="_x0000_s1026" style="position:absolute;margin-left:0;margin-top:-73.05pt;width:594pt;height:860.3pt;z-index:25166848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" fillcolor="#8eaadb [1940]" stroked="f" strokeweight="1pt">
                <w10:wrap anchorx="page"/>
              </v:rect>
            </w:pict>
          </mc:Fallback>
        </mc:AlternateContent>
      </w:r>
      <w:r w:rsidR="001226A0">
        <w:rPr>
          <w:noProof/>
        </w:rPr>
        <mc:AlternateContent>
          <mc:Choice Requires="wps">
            <w:drawing>
              <wp:anchor distT="45720" distB="45720" distL="114300" distR="114300" simplePos="0" relativeHeight="251671561" behindDoc="0" locked="0" layoutInCell="1" allowOverlap="1" wp14:anchorId="311B782D" wp14:editId="31A56A67">
                <wp:simplePos x="0" y="0"/>
                <wp:positionH relativeFrom="margin">
                  <wp:posOffset>1394460</wp:posOffset>
                </wp:positionH>
                <wp:positionV relativeFrom="paragraph">
                  <wp:posOffset>5768665</wp:posOffset>
                </wp:positionV>
                <wp:extent cx="2971800" cy="2146300"/>
                <wp:effectExtent l="0" t="0" r="0" b="6350"/>
                <wp:wrapSquare wrapText="bothSides"/>
                <wp:docPr id="19149643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46300"/>
                        </a:xfrm>
                        <a:prstGeom prst="rect">
                          <a:avLst/>
                        </a:prstGeom>
                        <a:solidFill>
                          <a:schemeClr val="accent1">
                            <a:lumMod val="60000"/>
                            <a:lumOff val="40000"/>
                          </a:schemeClr>
                        </a:solidFill>
                        <a:ln w="9525">
                          <a:noFill/>
                          <a:miter lim="800000"/>
                          <a:headEnd/>
                          <a:tailEnd/>
                        </a:ln>
                      </wps:spPr>
                      <wps:txbx>
                        <w:txbxContent>
                          <w:p w14:paraId="4C71DF79" w14:textId="1B02390C" w:rsidR="00D178E5" w:rsidRPr="00A221A8" w:rsidRDefault="00A221A8" w:rsidP="00A221A8">
                            <w:pPr>
                              <w:pStyle w:val="berschrift1"/>
                              <w:rPr>
                                <w:color w:val="FFFFFF" w:themeColor="background1"/>
                                <w:sz w:val="60"/>
                                <w:szCs w:val="60"/>
                                <w:lang w:val="en-US"/>
                              </w:rPr>
                            </w:pPr>
                            <w:bookmarkStart w:id="27" w:name="_Toc156824954"/>
                            <w:r w:rsidRPr="00A221A8">
                              <w:rPr>
                                <w:color w:val="FFFFFF" w:themeColor="background1"/>
                                <w:sz w:val="60"/>
                                <w:szCs w:val="60"/>
                                <w:lang w:val="en-US"/>
                              </w:rPr>
                              <w:t xml:space="preserve">Teil III: Investment Case und </w:t>
                            </w:r>
                            <w:proofErr w:type="spellStart"/>
                            <w:r w:rsidRPr="00A221A8">
                              <w:rPr>
                                <w:color w:val="FFFFFF" w:themeColor="background1"/>
                                <w:sz w:val="60"/>
                                <w:szCs w:val="60"/>
                                <w:lang w:val="en-US"/>
                              </w:rPr>
                              <w:t>Fazit</w:t>
                            </w:r>
                            <w:bookmarkEnd w:id="27"/>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B782D" id="_x0000_s1033" type="#_x0000_t202" style="position:absolute;margin-left:109.8pt;margin-top:454.25pt;width:234pt;height:169pt;z-index:2516715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" fillcolor="#8eaadb [1940]" stroked="f">
                <v:textbox>
                  <w:txbxContent>
                    <w:p w14:paraId="4C71DF79" w14:textId="1B02390C" w:rsidR="00D178E5" w:rsidRPr="00A221A8" w:rsidRDefault="00A221A8" w:rsidP="00A221A8">
                      <w:pPr>
                        <w:pStyle w:val="berschrift1"/>
                        <w:rPr>
                          <w:color w:val="FFFFFF" w:themeColor="background1"/>
                          <w:sz w:val="60"/>
                          <w:szCs w:val="60"/>
                          <w:lang w:val="en-US"/>
                        </w:rPr>
                      </w:pPr>
                      <w:bookmarkStart w:id="28" w:name="_Toc156824954"/>
                      <w:r w:rsidRPr="00A221A8">
                        <w:rPr>
                          <w:color w:val="FFFFFF" w:themeColor="background1"/>
                          <w:sz w:val="60"/>
                          <w:szCs w:val="60"/>
                          <w:lang w:val="en-US"/>
                        </w:rPr>
                        <w:t xml:space="preserve">Teil III: Investment Case und </w:t>
                      </w:r>
                      <w:proofErr w:type="spellStart"/>
                      <w:r w:rsidRPr="00A221A8">
                        <w:rPr>
                          <w:color w:val="FFFFFF" w:themeColor="background1"/>
                          <w:sz w:val="60"/>
                          <w:szCs w:val="60"/>
                          <w:lang w:val="en-US"/>
                        </w:rPr>
                        <w:t>Fazit</w:t>
                      </w:r>
                      <w:bookmarkEnd w:id="28"/>
                      <w:proofErr w:type="spellEnd"/>
                    </w:p>
                  </w:txbxContent>
                </v:textbox>
                <w10:wrap type="square" anchorx="margin"/>
              </v:shape>
            </w:pict>
          </mc:Fallback>
        </mc:AlternateContent>
      </w:r>
      <w:r w:rsidR="00B74F47" w:rsidRPr="00167635">
        <w:rPr>
          <w:lang w:val="en-US"/>
        </w:rPr>
        <w:br w:type="page"/>
      </w:r>
    </w:p>
    <w:p w14:paraId="33287501" w14:textId="77777777" w:rsidR="002814FF" w:rsidRPr="00167635" w:rsidRDefault="002814FF" w:rsidP="002814FF">
      <w:pPr>
        <w:rPr>
          <w:lang w:val="en-US"/>
        </w:rPr>
      </w:pPr>
    </w:p>
    <w:p w14:paraId="41ED2773" w14:textId="39F29B67" w:rsidR="00870322" w:rsidRPr="00E2316D" w:rsidRDefault="00870322" w:rsidP="00FB5CCD">
      <w:pPr>
        <w:pStyle w:val="berschrift2"/>
      </w:pPr>
      <w:bookmarkStart w:id="29" w:name="_Toc156824955"/>
      <w:r w:rsidRPr="00E2316D">
        <w:t>Investment Case, Chancen und Risiken</w:t>
      </w:r>
      <w:bookmarkEnd w:id="29"/>
      <w:r w:rsidRPr="00E2316D">
        <w:t xml:space="preserve"> </w:t>
      </w:r>
    </w:p>
    <w:p w14:paraId="679CAA59" w14:textId="2723105C" w:rsidR="002814FF" w:rsidRPr="00F113F8" w:rsidRDefault="00253C12" w:rsidP="002814FF">
      <w:pPr>
        <w:rPr>
          <w:b/>
        </w:rPr>
      </w:pPr>
      <w:r w:rsidRPr="00F113F8">
        <w:rPr>
          <w:b/>
        </w:rPr>
        <w:t xml:space="preserve">These bzw. </w:t>
      </w:r>
      <w:r w:rsidR="004114FC" w:rsidRPr="00F113F8">
        <w:rPr>
          <w:b/>
        </w:rPr>
        <w:t>Bull</w:t>
      </w:r>
      <w:r w:rsidRPr="00F113F8">
        <w:rPr>
          <w:b/>
        </w:rPr>
        <w:t xml:space="preserve"> Case </w:t>
      </w:r>
    </w:p>
    <w:p w14:paraId="736AB8BC" w14:textId="04371568" w:rsidR="004114FC" w:rsidRPr="004114FC" w:rsidRDefault="004114FC" w:rsidP="002814FF">
      <w:r w:rsidRPr="004114FC">
        <w:t>Kering ist einer der f</w:t>
      </w:r>
      <w:r>
        <w:t>ührenden Player im Luxu</w:t>
      </w:r>
      <w:r w:rsidR="00575DD2">
        <w:t>smarkt. Ihr Produktportfolio umfasst insgesamt 14 Marken</w:t>
      </w:r>
      <w:r w:rsidR="00807782">
        <w:t xml:space="preserve">, von denen zwei Marken </w:t>
      </w:r>
      <w:r w:rsidR="001F4C98">
        <w:t xml:space="preserve">laut </w:t>
      </w:r>
      <w:r w:rsidR="00570CF7">
        <w:t xml:space="preserve">dem Vogue Business Index zu den fünf beliebtesten Modemarken weltweit zählen. </w:t>
      </w:r>
      <w:r w:rsidR="00CF062E">
        <w:t>In der letzte</w:t>
      </w:r>
      <w:r w:rsidR="00843337">
        <w:t>n Ausgabe des Vogue Business Index belegte Saint Laurent den</w:t>
      </w:r>
      <w:r w:rsidR="005D6AD2">
        <w:t xml:space="preserve"> fünften und Gucci sogar den dritten Platz.</w:t>
      </w:r>
      <w:r w:rsidR="006D6F9B">
        <w:t xml:space="preserve"> </w:t>
      </w:r>
      <w:r w:rsidR="008C2A50">
        <w:t xml:space="preserve">Insgesamt </w:t>
      </w:r>
      <w:r w:rsidR="00E31CC4">
        <w:t>zeichnet sich</w:t>
      </w:r>
      <w:r w:rsidR="008C2A50">
        <w:t xml:space="preserve"> </w:t>
      </w:r>
      <w:proofErr w:type="spellStart"/>
      <w:r w:rsidR="006A67B7">
        <w:t>Kerin</w:t>
      </w:r>
      <w:r w:rsidR="00E31CC4">
        <w:t>g</w:t>
      </w:r>
      <w:r w:rsidR="006A67B7">
        <w:t>s</w:t>
      </w:r>
      <w:proofErr w:type="spellEnd"/>
      <w:r w:rsidR="006A67B7">
        <w:t xml:space="preserve"> Markenportfolio</w:t>
      </w:r>
      <w:r w:rsidR="00E31CC4">
        <w:t xml:space="preserve"> durch eine gewisse </w:t>
      </w:r>
      <w:r w:rsidR="00EB10E9">
        <w:t xml:space="preserve">Diversität </w:t>
      </w:r>
      <w:r w:rsidR="001B6ACE">
        <w:t>in den Design</w:t>
      </w:r>
      <w:r w:rsidR="00EE51A1">
        <w:t>-Ä</w:t>
      </w:r>
      <w:r w:rsidR="001B6ACE">
        <w:t>sth</w:t>
      </w:r>
      <w:r w:rsidR="00EE51A1">
        <w:t>e</w:t>
      </w:r>
      <w:r w:rsidR="001B6ACE">
        <w:t>tiken</w:t>
      </w:r>
      <w:r w:rsidR="00EE51A1">
        <w:t xml:space="preserve"> </w:t>
      </w:r>
      <w:r w:rsidR="001601B3">
        <w:t xml:space="preserve">der einzelnen </w:t>
      </w:r>
      <w:r w:rsidR="00584D52">
        <w:t xml:space="preserve">Häusern </w:t>
      </w:r>
      <w:r w:rsidR="00A33841">
        <w:t xml:space="preserve">aus, die von Balenciagas futuristischen Looks </w:t>
      </w:r>
      <w:r w:rsidR="00DF72B2">
        <w:t xml:space="preserve">hinzu Brionis </w:t>
      </w:r>
      <w:r w:rsidR="007A7ACB">
        <w:t>eher Kon</w:t>
      </w:r>
      <w:r w:rsidR="006978C0">
        <w:t xml:space="preserve">servativen Designs. Dies ermöglicht Kering ein breiteres </w:t>
      </w:r>
      <w:r w:rsidR="007D65E3">
        <w:t xml:space="preserve">Spektrum an Kunden zu erreichen und </w:t>
      </w:r>
      <w:r w:rsidR="000A4BF8">
        <w:t xml:space="preserve">sich gegenüber Schwankungen in Modetrends abzusichern. </w:t>
      </w:r>
      <w:r w:rsidR="00A421EE">
        <w:t xml:space="preserve">Fast alle Modehäuser im Kering-Konzern verfügen über eine </w:t>
      </w:r>
      <w:r w:rsidR="00742526">
        <w:t>langjährige Historie und weltweiter Bekanntheit</w:t>
      </w:r>
      <w:r w:rsidR="000A38C2">
        <w:t xml:space="preserve">, insbesondere Gucci und YSL. </w:t>
      </w:r>
      <w:r w:rsidR="00B95271">
        <w:t xml:space="preserve">Kering verfügt also über einen </w:t>
      </w:r>
      <w:r w:rsidR="007E5708">
        <w:t>tiefen Burggraben (</w:t>
      </w:r>
      <w:proofErr w:type="spellStart"/>
      <w:r w:rsidR="007E5708">
        <w:t>Economic</w:t>
      </w:r>
      <w:proofErr w:type="spellEnd"/>
      <w:r w:rsidR="007E5708">
        <w:t xml:space="preserve"> </w:t>
      </w:r>
      <w:proofErr w:type="spellStart"/>
      <w:r w:rsidR="007E5708">
        <w:t>Moat</w:t>
      </w:r>
      <w:proofErr w:type="spellEnd"/>
      <w:r w:rsidR="007E5708">
        <w:t xml:space="preserve">) </w:t>
      </w:r>
      <w:r w:rsidR="008E7C3E">
        <w:t xml:space="preserve">und besitzt eine höhere </w:t>
      </w:r>
      <w:r w:rsidR="00690FFC">
        <w:t xml:space="preserve">Preissetzungsmacht. </w:t>
      </w:r>
    </w:p>
    <w:p w14:paraId="4983F3B6" w14:textId="1A743781" w:rsidR="00690FFC" w:rsidRDefault="00213CD7" w:rsidP="002814FF">
      <w:r>
        <w:t xml:space="preserve">Kering konzentriert </w:t>
      </w:r>
      <w:r w:rsidR="008D6C20">
        <w:t>sich ausschließlich auf den Luxusmarkt</w:t>
      </w:r>
      <w:r w:rsidR="00F1232C">
        <w:t xml:space="preserve">. </w:t>
      </w:r>
      <w:proofErr w:type="spellStart"/>
      <w:r w:rsidR="00F1232C">
        <w:t>Kerings</w:t>
      </w:r>
      <w:proofErr w:type="spellEnd"/>
      <w:r w:rsidR="00F1232C">
        <w:t xml:space="preserve"> Kundschaft beseht also zumeist au</w:t>
      </w:r>
      <w:r w:rsidR="00203C40">
        <w:t>s Wohlhabenden Personen</w:t>
      </w:r>
      <w:r w:rsidR="00A77902">
        <w:t xml:space="preserve">. Somit </w:t>
      </w:r>
      <w:r w:rsidR="00CC6109">
        <w:t>habe</w:t>
      </w:r>
      <w:r w:rsidR="00C941DF">
        <w:t xml:space="preserve"> </w:t>
      </w:r>
      <w:proofErr w:type="spellStart"/>
      <w:r w:rsidR="00CC6109">
        <w:t>Kerings</w:t>
      </w:r>
      <w:proofErr w:type="spellEnd"/>
      <w:r w:rsidR="00CC6109">
        <w:t xml:space="preserve"> Umsätze eine niedrige Korrelation mit </w:t>
      </w:r>
      <w:r w:rsidR="003D3E2E">
        <w:t xml:space="preserve">makroökonomischen Wirtschaftszyklen </w:t>
      </w:r>
      <w:r w:rsidR="00A17ACD">
        <w:t xml:space="preserve">als Modeunternehmen im mittleren und unteren Preissegment. Dies spiegelt sich auch in der Kering Aktie wieder. </w:t>
      </w:r>
      <w:r w:rsidR="00AE4343">
        <w:t xml:space="preserve">So reagierte die Kering Aktie z.B. </w:t>
      </w:r>
      <w:r w:rsidR="009C33E6">
        <w:t xml:space="preserve">überhaupt nicht auf den Börsencrash 2008. Auch insgesamt weist die Kering Aktie eine geringere Volatilität </w:t>
      </w:r>
      <w:r w:rsidR="00EC3603">
        <w:t xml:space="preserve">als der Gesamtmarkt auf. </w:t>
      </w:r>
    </w:p>
    <w:p w14:paraId="1AAC9853" w14:textId="08F5A025" w:rsidR="002E5C3C" w:rsidRDefault="00E2316D" w:rsidP="002814FF">
      <w:r w:rsidRPr="00E2316D">
        <w:t>Kering befindet</w:t>
      </w:r>
      <w:r>
        <w:t xml:space="preserve"> sich aktuell </w:t>
      </w:r>
      <w:r w:rsidR="000F0A82">
        <w:t>in</w:t>
      </w:r>
      <w:r w:rsidR="0043512F">
        <w:t xml:space="preserve"> einer Periode des Umbruch. </w:t>
      </w:r>
      <w:r w:rsidR="00FA33AE">
        <w:t xml:space="preserve">Es </w:t>
      </w:r>
      <w:r w:rsidR="004011F4">
        <w:t xml:space="preserve">wurden Änderungen </w:t>
      </w:r>
      <w:r w:rsidR="00804677">
        <w:t xml:space="preserve">im </w:t>
      </w:r>
      <w:r w:rsidR="00615BB4">
        <w:t>Management</w:t>
      </w:r>
      <w:r w:rsidR="00804677">
        <w:t xml:space="preserve"> </w:t>
      </w:r>
      <w:r w:rsidR="00615BB4">
        <w:t xml:space="preserve">und der kreativen Leitung einiger Häuser vorgenommen. </w:t>
      </w:r>
      <w:r w:rsidR="009A3BF3">
        <w:t xml:space="preserve">Alexander McQueen hat einen neuen Geschäftsführer. </w:t>
      </w:r>
      <w:r w:rsidR="00A07987">
        <w:t xml:space="preserve">Die größte Veränderungen gab es jedoch bei Gucci, die mit einem Umsatzanteil von über 50% </w:t>
      </w:r>
      <w:proofErr w:type="spellStart"/>
      <w:r w:rsidR="00A07987">
        <w:t>Kerings</w:t>
      </w:r>
      <w:proofErr w:type="spellEnd"/>
      <w:r w:rsidR="00A07987">
        <w:t xml:space="preserve"> wichtigstes Modehaus ist. </w:t>
      </w:r>
      <w:r w:rsidR="000330E6">
        <w:t xml:space="preserve">Gucci wechselte mit </w:t>
      </w:r>
      <w:r w:rsidR="000D7E89">
        <w:t xml:space="preserve">Sabato de Sarno sowohl den </w:t>
      </w:r>
      <w:r w:rsidR="00A21B80">
        <w:t xml:space="preserve">Creative </w:t>
      </w:r>
      <w:proofErr w:type="spellStart"/>
      <w:r w:rsidR="00A21B80">
        <w:t>Director</w:t>
      </w:r>
      <w:proofErr w:type="spellEnd"/>
      <w:r w:rsidR="00A21B80">
        <w:t xml:space="preserve"> als auch </w:t>
      </w:r>
      <w:r w:rsidR="00A21B80" w:rsidRPr="00E33927">
        <w:t xml:space="preserve">Jean-François </w:t>
      </w:r>
      <w:proofErr w:type="spellStart"/>
      <w:r w:rsidR="00A21B80" w:rsidRPr="00E33927">
        <w:t>Palus</w:t>
      </w:r>
      <w:proofErr w:type="spellEnd"/>
      <w:r w:rsidR="00A21B80">
        <w:t xml:space="preserve"> den Geschäftsführer</w:t>
      </w:r>
      <w:r w:rsidR="00415875">
        <w:t xml:space="preserve"> (</w:t>
      </w:r>
      <w:r w:rsidR="00415875" w:rsidRPr="00E33927">
        <w:t xml:space="preserve">Jean-François </w:t>
      </w:r>
      <w:proofErr w:type="spellStart"/>
      <w:r w:rsidR="00415875" w:rsidRPr="00E33927">
        <w:t>Palus</w:t>
      </w:r>
      <w:proofErr w:type="spellEnd"/>
      <w:r w:rsidR="00415875">
        <w:t xml:space="preserve"> ist wahrscheinlich nur eine </w:t>
      </w:r>
      <w:r w:rsidR="00B25F6F">
        <w:t xml:space="preserve">Übergangslösung). Unter Sabato de Sarno soll eine neue Ära bei Gucci </w:t>
      </w:r>
      <w:r w:rsidR="004D17AD">
        <w:t xml:space="preserve">eingeläutet werden. </w:t>
      </w:r>
      <w:r w:rsidR="005D00AE">
        <w:t xml:space="preserve">Teile davon waren schon bei der Sarno ersten Kollektion bei Gucci zusehen. Es wird jedoch </w:t>
      </w:r>
      <w:r w:rsidR="002276D6">
        <w:t>dauern bis</w:t>
      </w:r>
      <w:r w:rsidR="00654351">
        <w:t xml:space="preserve"> de Sarnos Handschrift </w:t>
      </w:r>
      <w:r w:rsidR="00374F26">
        <w:t xml:space="preserve">und seine Ideen </w:t>
      </w:r>
      <w:r w:rsidR="00654351">
        <w:t>vollständig</w:t>
      </w:r>
      <w:r w:rsidR="00374F26">
        <w:t xml:space="preserve"> </w:t>
      </w:r>
      <w:r w:rsidR="00D3340F">
        <w:t xml:space="preserve">bei Gucci implementiert sind. </w:t>
      </w:r>
      <w:r w:rsidR="00523ECB">
        <w:t>Außerdem ist Kering bemüht das Geschäftsmodell weiter zu dive</w:t>
      </w:r>
      <w:r w:rsidR="007F47B3">
        <w:t xml:space="preserve">rsifizieren und </w:t>
      </w:r>
      <w:r w:rsidR="002F4356">
        <w:t xml:space="preserve">neue </w:t>
      </w:r>
      <w:r w:rsidR="00D94E7B">
        <w:t>Geschäftssegmente zu erschließen</w:t>
      </w:r>
      <w:r w:rsidR="007F47B3">
        <w:t xml:space="preserve">. So </w:t>
      </w:r>
      <w:r w:rsidR="00B4339F">
        <w:t xml:space="preserve">wurde 2023 Kering neue Spate Kering Beauté gegründet </w:t>
      </w:r>
      <w:r w:rsidR="000A1551">
        <w:t xml:space="preserve">und soll </w:t>
      </w:r>
      <w:r w:rsidR="002F4356">
        <w:t>das dabei helfen d</w:t>
      </w:r>
      <w:r w:rsidR="009A2887">
        <w:t>ie</w:t>
      </w:r>
      <w:r w:rsidR="002F4356">
        <w:t xml:space="preserve"> Kosmetik</w:t>
      </w:r>
      <w:r w:rsidR="00D33F94">
        <w:t xml:space="preserve">segmente einiger </w:t>
      </w:r>
      <w:r w:rsidR="00E100BC">
        <w:t xml:space="preserve">Häuser zu optimieren. Zusätzlich </w:t>
      </w:r>
      <w:r w:rsidR="001A4308">
        <w:t>Kering Beauté</w:t>
      </w:r>
      <w:r w:rsidR="001A4308">
        <w:t xml:space="preserve"> die Position </w:t>
      </w:r>
      <w:r w:rsidR="00A437C1">
        <w:t xml:space="preserve">der Kering Gruppe im Segment </w:t>
      </w:r>
      <w:r w:rsidR="005E2F8E">
        <w:t xml:space="preserve">Kosmetik auch die </w:t>
      </w:r>
      <w:r w:rsidR="00A47F6D">
        <w:t>Akquisitionen</w:t>
      </w:r>
      <w:r w:rsidR="00DB5541">
        <w:t xml:space="preserve">, </w:t>
      </w:r>
      <w:r w:rsidR="005E2F8E">
        <w:t>w</w:t>
      </w:r>
      <w:r w:rsidR="00A47F6D">
        <w:t>ie Creed</w:t>
      </w:r>
      <w:r w:rsidR="00DB5541">
        <w:t>,</w:t>
      </w:r>
      <w:r w:rsidR="00A47F6D">
        <w:t xml:space="preserve"> zu stärken.</w:t>
      </w:r>
      <w:r w:rsidR="00DB5541">
        <w:t xml:space="preserve"> </w:t>
      </w:r>
      <w:r w:rsidR="00F3565F">
        <w:t xml:space="preserve">Auch im Segment </w:t>
      </w:r>
      <w:proofErr w:type="spellStart"/>
      <w:r w:rsidR="00F3565F">
        <w:t>Eyewear</w:t>
      </w:r>
      <w:proofErr w:type="spellEnd"/>
      <w:r w:rsidR="00F3565F">
        <w:t xml:space="preserve"> </w:t>
      </w:r>
      <w:r w:rsidR="006D0276">
        <w:t xml:space="preserve">expandiert Kering mit Kering </w:t>
      </w:r>
      <w:proofErr w:type="spellStart"/>
      <w:r w:rsidR="006D0276">
        <w:t>Eyewe</w:t>
      </w:r>
      <w:r w:rsidR="00056CA7">
        <w:t>a</w:t>
      </w:r>
      <w:r w:rsidR="006D0276">
        <w:t>r</w:t>
      </w:r>
      <w:proofErr w:type="spellEnd"/>
      <w:r w:rsidR="006D0276">
        <w:t>, welches in den letzten Jahren hohe zweistellige Wachstumsraten</w:t>
      </w:r>
      <w:r w:rsidR="00A47F6D">
        <w:t xml:space="preserve"> </w:t>
      </w:r>
      <w:r w:rsidR="006D0276">
        <w:t>verzeichnen konnte</w:t>
      </w:r>
      <w:r w:rsidR="00DC134A">
        <w:t xml:space="preserve">. </w:t>
      </w:r>
      <w:r w:rsidR="009155EE">
        <w:t xml:space="preserve">Die </w:t>
      </w:r>
      <w:r w:rsidR="007A56AF">
        <w:t>Neuausrichtung Guccis und neue Geschäftsparten könnten ein Wachstumstre</w:t>
      </w:r>
      <w:r w:rsidR="001A7C93">
        <w:t>i</w:t>
      </w:r>
      <w:r w:rsidR="007A56AF">
        <w:t>ber</w:t>
      </w:r>
      <w:r w:rsidR="001A7C93">
        <w:t xml:space="preserve"> für Kering in der Zukunft werden. Dabei ist der Luxusmarkt</w:t>
      </w:r>
      <w:r w:rsidR="00C32A6F">
        <w:t xml:space="preserve"> an sich ein Wachstumsmarken</w:t>
      </w:r>
      <w:r w:rsidR="00F20F95">
        <w:t xml:space="preserve">, </w:t>
      </w:r>
      <w:r w:rsidR="00FD6A86">
        <w:t xml:space="preserve">auch wenn </w:t>
      </w:r>
      <w:r w:rsidR="00F20F95">
        <w:t xml:space="preserve">McKinsey </w:t>
      </w:r>
      <w:r w:rsidR="00FD6A86">
        <w:t xml:space="preserve">eine Verlangsamung </w:t>
      </w:r>
      <w:r w:rsidR="006A24A5">
        <w:t xml:space="preserve">der Wachstumsraten auf 3-5% </w:t>
      </w:r>
      <w:r w:rsidR="006E7DD9">
        <w:t xml:space="preserve">für 2024 </w:t>
      </w:r>
      <w:r w:rsidR="006A24A5">
        <w:t>prognostiziert</w:t>
      </w:r>
      <w:r w:rsidR="006E7DD9">
        <w:t>.</w:t>
      </w:r>
      <w:r w:rsidR="00D0050A">
        <w:t xml:space="preserve"> </w:t>
      </w:r>
      <w:r w:rsidR="002C16EA">
        <w:t xml:space="preserve">Zudem könnte </w:t>
      </w:r>
      <w:r w:rsidR="009962AE">
        <w:t xml:space="preserve">die Modeindustrie in Zukunft von AI profitieren. </w:t>
      </w:r>
      <w:r w:rsidR="00D0050A">
        <w:t>Häuser</w:t>
      </w:r>
      <w:r w:rsidR="00516822">
        <w:t xml:space="preserve"> wie Saint Lauren und Balenciaga konnten in den letzten Jahren ihre Umsätze stark steig</w:t>
      </w:r>
      <w:r w:rsidR="005444B0">
        <w:t>ern und werden dies in Zukunft wohl auch weiter tun</w:t>
      </w:r>
      <w:r w:rsidR="005152E3">
        <w:t>, vorwiegend in den Segmenten Ready-</w:t>
      </w:r>
      <w:proofErr w:type="spellStart"/>
      <w:r w:rsidR="005152E3">
        <w:t>to</w:t>
      </w:r>
      <w:proofErr w:type="spellEnd"/>
      <w:r w:rsidR="005152E3">
        <w:t>-</w:t>
      </w:r>
      <w:proofErr w:type="spellStart"/>
      <w:r w:rsidR="005152E3">
        <w:t>Wear</w:t>
      </w:r>
      <w:proofErr w:type="spellEnd"/>
      <w:r w:rsidR="005152E3">
        <w:t xml:space="preserve"> Fashion sowie Schuhen.</w:t>
      </w:r>
      <w:r w:rsidR="007A56AF">
        <w:t xml:space="preserve"> </w:t>
      </w:r>
      <w:r w:rsidR="00DC134A">
        <w:t xml:space="preserve">Zudem konnte Kering in den letzten Jahren </w:t>
      </w:r>
      <w:r w:rsidR="005233B2">
        <w:t xml:space="preserve">die </w:t>
      </w:r>
      <w:r w:rsidR="006D28C4">
        <w:t xml:space="preserve">vertikale Integration vorantreiben und </w:t>
      </w:r>
      <w:r w:rsidR="00275A3E">
        <w:t xml:space="preserve">die Produktionstiefe erhöhen, indem sie einige Gerbereien akquirierten </w:t>
      </w:r>
      <w:r w:rsidR="00BE5AA5">
        <w:t>und somit weniger empfindlich gegenüber steigenden Materialkosten sind.</w:t>
      </w:r>
      <w:r w:rsidR="00275A3E">
        <w:t xml:space="preserve"> </w:t>
      </w:r>
    </w:p>
    <w:p w14:paraId="5B71ED15" w14:textId="29B5130F" w:rsidR="00C14F57" w:rsidRDefault="00B02BFB" w:rsidP="002814FF">
      <w:r>
        <w:t xml:space="preserve">Kering ist außerdem ein deutlicher </w:t>
      </w:r>
      <w:proofErr w:type="spellStart"/>
      <w:r>
        <w:t>Werstschöpfer</w:t>
      </w:r>
      <w:proofErr w:type="spellEnd"/>
      <w:r>
        <w:t xml:space="preserve">, da </w:t>
      </w:r>
      <w:r w:rsidR="00D71AB1">
        <w:t xml:space="preserve">die durchschnittlichen </w:t>
      </w:r>
      <w:r>
        <w:t xml:space="preserve">Rendite </w:t>
      </w:r>
      <w:r w:rsidR="00460D9D">
        <w:t xml:space="preserve">aufs investierte Kapital (ROIC) </w:t>
      </w:r>
      <w:r w:rsidR="00D71AB1">
        <w:t xml:space="preserve">auf die letzten </w:t>
      </w:r>
      <w:r w:rsidR="00FC6F9D">
        <w:t xml:space="preserve">5 Jahre </w:t>
      </w:r>
      <w:r w:rsidR="00460D9D">
        <w:t>mit</w:t>
      </w:r>
      <w:r w:rsidR="00FC6F9D">
        <w:t xml:space="preserve"> 23,7% deutlich die durchschnittlichen Kapitalkosten von 6,1% überschreite</w:t>
      </w:r>
      <w:r w:rsidR="00BC523C">
        <w:t>n</w:t>
      </w:r>
      <w:r w:rsidR="00FC6F9D">
        <w:t>.</w:t>
      </w:r>
      <w:r w:rsidR="00BC523C">
        <w:t xml:space="preserve"> </w:t>
      </w:r>
      <w:r w:rsidR="00411F59">
        <w:t xml:space="preserve">Zudem </w:t>
      </w:r>
      <w:r w:rsidR="00C01607">
        <w:t xml:space="preserve">ist die Kering finanziell sehr solide </w:t>
      </w:r>
      <w:r w:rsidR="00B52198">
        <w:t>aufgestellt. Sie verfügt über eine sehr hohe Eigenkapitalquote von 88%</w:t>
      </w:r>
      <w:r w:rsidR="00207B52">
        <w:t xml:space="preserve">, sowie einer sehr geringen Nettoverschuldung </w:t>
      </w:r>
      <w:r w:rsidR="00AF0F1A">
        <w:t xml:space="preserve">von 2,3 Milliarden </w:t>
      </w:r>
      <w:r w:rsidR="00AF0F1A">
        <w:lastRenderedPageBreak/>
        <w:t xml:space="preserve">EUR. </w:t>
      </w:r>
      <w:proofErr w:type="spellStart"/>
      <w:r w:rsidR="00C772FD">
        <w:t>Kerings</w:t>
      </w:r>
      <w:proofErr w:type="spellEnd"/>
      <w:r w:rsidR="00C772FD">
        <w:t xml:space="preserve"> EBIT ist also mehr also doppelt so groß wie die Nettoverschuldung</w:t>
      </w:r>
      <w:r w:rsidR="00AD6C69">
        <w:t>. Auch das Interest Coverage Ratio ist mit 19 enorm hoch.</w:t>
      </w:r>
      <w:r w:rsidR="00460D9D">
        <w:t xml:space="preserve"> </w:t>
      </w:r>
    </w:p>
    <w:p w14:paraId="2AC4389E" w14:textId="0645296D" w:rsidR="00B62B83" w:rsidRPr="00687AB3" w:rsidRDefault="00263D99" w:rsidP="002814FF">
      <w:proofErr w:type="spellStart"/>
      <w:r>
        <w:t>Kerings</w:t>
      </w:r>
      <w:proofErr w:type="spellEnd"/>
      <w:r>
        <w:t xml:space="preserve"> Aktienkurs </w:t>
      </w:r>
      <w:r w:rsidR="00433321">
        <w:t xml:space="preserve">ist von </w:t>
      </w:r>
      <w:r w:rsidR="00DC0582">
        <w:t xml:space="preserve">seinem All-Time aus dem August 2021 </w:t>
      </w:r>
      <w:r w:rsidR="00E54227">
        <w:t xml:space="preserve">von 792 </w:t>
      </w:r>
      <w:r w:rsidR="00F00043">
        <w:t xml:space="preserve">EUR </w:t>
      </w:r>
      <w:r w:rsidR="00E54227">
        <w:t>auf nun 348</w:t>
      </w:r>
      <w:r w:rsidR="00F00043">
        <w:t xml:space="preserve"> EUR gefallen. Dies entspricht einem Rückgang von </w:t>
      </w:r>
      <w:r w:rsidR="009E7375">
        <w:t xml:space="preserve">ca. 56% </w:t>
      </w:r>
      <w:r w:rsidR="00C54269">
        <w:t xml:space="preserve">Allein seit dem 1. Januar 2023 ist die Kering Aktie um 28% gefallen. </w:t>
      </w:r>
      <w:r w:rsidR="00F11575">
        <w:t xml:space="preserve">Dies scheint </w:t>
      </w:r>
      <w:proofErr w:type="spellStart"/>
      <w:r w:rsidR="00F11575">
        <w:t>Kerings</w:t>
      </w:r>
      <w:proofErr w:type="spellEnd"/>
      <w:r w:rsidR="00F11575">
        <w:t xml:space="preserve"> Bewertung als äußerst günstig erscheinen. </w:t>
      </w:r>
      <w:r w:rsidR="00F11575" w:rsidRPr="00687AB3">
        <w:t xml:space="preserve">Bewertungsmultiples wie </w:t>
      </w:r>
      <w:r w:rsidR="009E49B2" w:rsidRPr="00687AB3">
        <w:t>Umsatz-</w:t>
      </w:r>
      <w:proofErr w:type="spellStart"/>
      <w:r w:rsidR="009E49B2" w:rsidRPr="00687AB3">
        <w:t>Multipe</w:t>
      </w:r>
      <w:proofErr w:type="spellEnd"/>
      <w:r w:rsidR="009E49B2" w:rsidRPr="00687AB3">
        <w:t xml:space="preserve">, </w:t>
      </w:r>
      <w:proofErr w:type="spellStart"/>
      <w:r w:rsidR="009E49B2" w:rsidRPr="00687AB3">
        <w:t>Earnings</w:t>
      </w:r>
      <w:proofErr w:type="spellEnd"/>
      <w:r w:rsidR="009E49B2" w:rsidRPr="00687AB3">
        <w:t>-Multiple</w:t>
      </w:r>
      <w:r w:rsidR="00F11575" w:rsidRPr="00687AB3">
        <w:t>, EBIT/EV</w:t>
      </w:r>
      <w:r w:rsidR="007E1759" w:rsidRPr="00687AB3">
        <w:t xml:space="preserve">, Buchwert Multiple </w:t>
      </w:r>
      <w:r w:rsidR="00FB1A76" w:rsidRPr="00687AB3">
        <w:t>und Cash</w:t>
      </w:r>
      <w:r w:rsidR="00687AB3" w:rsidRPr="00687AB3">
        <w:t>-Flow-Multiples sehen historisch sehr attraktiv au</w:t>
      </w:r>
      <w:r w:rsidR="00687AB3">
        <w:t>s.</w:t>
      </w:r>
      <w:r w:rsidR="00182C27">
        <w:t xml:space="preserve"> Die genannten Multiples liegen alle unter dem Mittelwert der letzten 5 Jahre</w:t>
      </w:r>
      <w:r w:rsidR="00F46771">
        <w:t xml:space="preserve"> (Siehe </w:t>
      </w:r>
      <w:proofErr w:type="spellStart"/>
      <w:r w:rsidR="00F46771">
        <w:t>Ratios</w:t>
      </w:r>
      <w:proofErr w:type="spellEnd"/>
      <w:r w:rsidR="00F46771">
        <w:t xml:space="preserve">). </w:t>
      </w:r>
      <w:r w:rsidR="00A96908">
        <w:t xml:space="preserve">Auch im Vergleich mit anderen Playern im Luxusmarkt sehen die </w:t>
      </w:r>
      <w:proofErr w:type="spellStart"/>
      <w:r w:rsidR="00A96908">
        <w:t>Berwertungsmultiples</w:t>
      </w:r>
      <w:proofErr w:type="spellEnd"/>
      <w:r w:rsidR="00A96908">
        <w:t xml:space="preserve"> sehr attraktiv aus</w:t>
      </w:r>
      <w:r w:rsidR="00581E74">
        <w:t xml:space="preserve"> (siehe</w:t>
      </w:r>
      <w:r w:rsidR="00163F05">
        <w:t xml:space="preserve"> Relative </w:t>
      </w:r>
      <w:proofErr w:type="spellStart"/>
      <w:r w:rsidR="00163F05">
        <w:t>Valuation</w:t>
      </w:r>
      <w:proofErr w:type="spellEnd"/>
      <w:r w:rsidR="00163F05">
        <w:t>)</w:t>
      </w:r>
      <w:r w:rsidR="00B62B83">
        <w:t xml:space="preserve">. </w:t>
      </w:r>
      <w:r w:rsidR="00811FF6">
        <w:t>Betrachtet</w:t>
      </w:r>
      <w:r w:rsidR="00B62B83">
        <w:t xml:space="preserve"> man </w:t>
      </w:r>
      <w:proofErr w:type="spellStart"/>
      <w:r w:rsidR="00B62B83">
        <w:t>Kerings</w:t>
      </w:r>
      <w:proofErr w:type="spellEnd"/>
      <w:r w:rsidR="00B62B83">
        <w:t xml:space="preserve"> intrinsischen Wert</w:t>
      </w:r>
      <w:r w:rsidR="00554B1A">
        <w:t>, stellt man fest</w:t>
      </w:r>
      <w:r w:rsidR="00811FF6">
        <w:t xml:space="preserve">, dass, wenn die getroffenen Annahmen sich bewahrheiten, </w:t>
      </w:r>
      <w:r w:rsidR="00F057D1">
        <w:t>die Kering Aktie mit einem Abschlag von</w:t>
      </w:r>
      <w:r w:rsidR="00970EE4">
        <w:t xml:space="preserve"> über 120% </w:t>
      </w:r>
      <w:r w:rsidR="00682316">
        <w:t>auf ihren intrinsischen Wert</w:t>
      </w:r>
      <w:r w:rsidR="009061A5">
        <w:t xml:space="preserve"> handelt</w:t>
      </w:r>
      <w:r w:rsidR="0099077E">
        <w:t xml:space="preserve"> (</w:t>
      </w:r>
      <w:r w:rsidR="004835E2">
        <w:t xml:space="preserve">7% CAGR beim Umsatz </w:t>
      </w:r>
      <w:r w:rsidR="00E37240">
        <w:t>bis 2030 =&gt; 34,5 Milliarden EUR Umsatz</w:t>
      </w:r>
      <w:r w:rsidR="0039371F">
        <w:t>, zum Vergleich LVMH erwirtschaftete 2022 allein</w:t>
      </w:r>
      <w:r w:rsidR="008323C3">
        <w:t xml:space="preserve"> im Segment Lederware und </w:t>
      </w:r>
      <w:r w:rsidR="007C539B">
        <w:t>Mode 38 Milliarden</w:t>
      </w:r>
      <w:r w:rsidR="006B09C8">
        <w:t xml:space="preserve"> EUR</w:t>
      </w:r>
      <w:r w:rsidR="00CF6F79">
        <w:t xml:space="preserve"> (insg. 97 Milliarden)</w:t>
      </w:r>
      <w:r w:rsidR="009061A5">
        <w:t xml:space="preserve">. Um die </w:t>
      </w:r>
      <w:r w:rsidR="00CF6F79">
        <w:t>niedrige</w:t>
      </w:r>
      <w:r w:rsidR="009061A5">
        <w:t xml:space="preserve"> Bewertung zurechtfertigen </w:t>
      </w:r>
      <w:r w:rsidR="00EC52B0">
        <w:t xml:space="preserve">müsste man davon ausgehen, dass </w:t>
      </w:r>
      <w:proofErr w:type="spellStart"/>
      <w:r w:rsidR="00EC52B0">
        <w:t>Kerings</w:t>
      </w:r>
      <w:proofErr w:type="spellEnd"/>
      <w:r w:rsidR="00EC52B0">
        <w:t xml:space="preserve"> Wachstum in den nächsten Jahren nicht nur stagniert sondern rücklaufend sein wird</w:t>
      </w:r>
      <w:r w:rsidR="00655D31">
        <w:t xml:space="preserve"> (siehe DFC)</w:t>
      </w:r>
      <w:r w:rsidR="00CF6F79">
        <w:t>.</w:t>
      </w:r>
    </w:p>
    <w:p w14:paraId="348642C3" w14:textId="77777777" w:rsidR="00E2316D" w:rsidRPr="00687AB3" w:rsidRDefault="00E2316D" w:rsidP="002814FF"/>
    <w:p w14:paraId="344DC4B6" w14:textId="5231E8CB" w:rsidR="002814FF" w:rsidRPr="004114FC" w:rsidRDefault="00253C12" w:rsidP="002814FF">
      <w:pPr>
        <w:rPr>
          <w:b/>
        </w:rPr>
      </w:pPr>
      <w:r w:rsidRPr="004114FC">
        <w:rPr>
          <w:b/>
        </w:rPr>
        <w:t>Ant</w:t>
      </w:r>
      <w:r w:rsidR="00414349" w:rsidRPr="004114FC">
        <w:rPr>
          <w:b/>
        </w:rPr>
        <w:t xml:space="preserve">ithese </w:t>
      </w:r>
      <w:r w:rsidR="008270B9" w:rsidRPr="004114FC">
        <w:rPr>
          <w:b/>
        </w:rPr>
        <w:t xml:space="preserve">bzw. Bear Case </w:t>
      </w:r>
    </w:p>
    <w:p w14:paraId="4B5EADE9" w14:textId="7A90751C" w:rsidR="00794CD1" w:rsidRDefault="00794CD1" w:rsidP="002814FF">
      <w:r>
        <w:t xml:space="preserve">Zwar besitzt Kering ein </w:t>
      </w:r>
      <w:r w:rsidR="00444B5C">
        <w:t xml:space="preserve">diversifiziertes Markenportfolio </w:t>
      </w:r>
      <w:r w:rsidR="009B20B5">
        <w:t>und besitzt Modehäuser</w:t>
      </w:r>
      <w:r w:rsidR="008F7057">
        <w:t>, die auf eine langjährige Geschichten zurückblicken</w:t>
      </w:r>
      <w:r w:rsidR="00407261">
        <w:t xml:space="preserve">, vergleicht man </w:t>
      </w:r>
      <w:proofErr w:type="spellStart"/>
      <w:r w:rsidR="00407261">
        <w:t>Kerings</w:t>
      </w:r>
      <w:proofErr w:type="spellEnd"/>
      <w:r w:rsidR="00407261">
        <w:t xml:space="preserve"> Portfolio jedoch mit LV</w:t>
      </w:r>
      <w:r w:rsidR="00FA632E">
        <w:t xml:space="preserve">MHs 56 Marken, erscheint dieses mit 14 Marken doch relativ klein. </w:t>
      </w:r>
      <w:r w:rsidR="00DF4EB1">
        <w:t xml:space="preserve">Gucci belegt immer noch Platz drei der beliebtesten </w:t>
      </w:r>
      <w:r w:rsidR="00E03425">
        <w:t xml:space="preserve">Modemarken weltweit laut Vogue. </w:t>
      </w:r>
      <w:r w:rsidR="00AC5EDC">
        <w:t xml:space="preserve">Allerdings </w:t>
      </w:r>
      <w:r w:rsidR="00461400">
        <w:t>lässt sich ein klarer negativer Trend erkennen, da das Modehaus vor 2019</w:t>
      </w:r>
      <w:r w:rsidR="0059365B">
        <w:t xml:space="preserve"> noch den ersten Platz belegte. </w:t>
      </w:r>
      <w:r w:rsidR="00F80E59">
        <w:t>Dies spiegelt sich auch in Guccis Jahreschabschlüssen wieder.</w:t>
      </w:r>
      <w:r w:rsidR="000B658E">
        <w:t xml:space="preserve"> Sie sind </w:t>
      </w:r>
      <w:r w:rsidR="009E08B9">
        <w:t>Umsatzwachstumsraten seit</w:t>
      </w:r>
      <w:r w:rsidR="004E2C43">
        <w:t xml:space="preserve"> 2020 deutlich geringer als die Wachstumsraten des Gesamtkonzerns (</w:t>
      </w:r>
      <w:r w:rsidR="00EC61E5">
        <w:t>CAGR 5,3% Gucci vs. 10,8% Kering)</w:t>
      </w:r>
      <w:r w:rsidR="00567B3C">
        <w:t xml:space="preserve">. Auch </w:t>
      </w:r>
      <w:r w:rsidR="00EB252F">
        <w:t xml:space="preserve">Guccis operative Marge sind </w:t>
      </w:r>
      <w:r w:rsidR="0044554B">
        <w:t xml:space="preserve">seit 2019 auf 36% gesunken (vgl. 41% 2019). </w:t>
      </w:r>
      <w:r w:rsidR="00031384">
        <w:t xml:space="preserve">Sabato de Sarno soll diesen Trend umkehren </w:t>
      </w:r>
      <w:r w:rsidR="002251CD">
        <w:t>und Gucci wieder zurück zur alter Stärke führen.</w:t>
      </w:r>
      <w:r w:rsidR="003D405A">
        <w:t xml:space="preserve"> </w:t>
      </w:r>
      <w:r w:rsidR="0015413F">
        <w:t xml:space="preserve">Ob ihm dies gelingt lässt sich zumindest bezweifeln. </w:t>
      </w:r>
      <w:r w:rsidR="00A60C1A">
        <w:t>Er beer</w:t>
      </w:r>
      <w:r w:rsidR="00B70933">
        <w:t>b</w:t>
      </w:r>
      <w:r w:rsidR="00A60C1A">
        <w:t xml:space="preserve">t bei Gucci </w:t>
      </w:r>
      <w:r w:rsidR="00B70933">
        <w:t>Alessandro Michele</w:t>
      </w:r>
      <w:r w:rsidR="00415B7F">
        <w:t xml:space="preserve">, der </w:t>
      </w:r>
      <w:r w:rsidR="001E69F7">
        <w:t xml:space="preserve">maßgeblich </w:t>
      </w:r>
      <w:r w:rsidR="009D5FE3">
        <w:t>dazu beigetragen</w:t>
      </w:r>
      <w:r w:rsidR="00C970B7">
        <w:t xml:space="preserve"> hat, </w:t>
      </w:r>
      <w:r w:rsidR="009D5FE3">
        <w:t xml:space="preserve">Gucci zu dem zu machen, was es heute ist. Seine </w:t>
      </w:r>
      <w:proofErr w:type="spellStart"/>
      <w:r w:rsidR="00E00777">
        <w:t>maximalistische</w:t>
      </w:r>
      <w:proofErr w:type="spellEnd"/>
      <w:r w:rsidR="00415B7F">
        <w:t xml:space="preserve"> </w:t>
      </w:r>
      <w:r w:rsidR="004A55C8">
        <w:t>und laute Designsprache steht im starken</w:t>
      </w:r>
      <w:r w:rsidR="00367520">
        <w:t xml:space="preserve"> Kontrast zu de Sarnos minimalistischeren Designs. </w:t>
      </w:r>
      <w:r w:rsidR="002C540C">
        <w:t xml:space="preserve">Hinzukommt, dass </w:t>
      </w:r>
      <w:proofErr w:type="spellStart"/>
      <w:r w:rsidR="002C540C">
        <w:t>de</w:t>
      </w:r>
      <w:proofErr w:type="spellEnd"/>
      <w:r w:rsidR="002C540C">
        <w:t xml:space="preserve"> Sarno zwar</w:t>
      </w:r>
      <w:r w:rsidR="00367BA6">
        <w:t xml:space="preserve"> in der Modeszene</w:t>
      </w:r>
      <w:r w:rsidR="002C540C">
        <w:t xml:space="preserve"> </w:t>
      </w:r>
      <w:r w:rsidR="00367BA6">
        <w:t xml:space="preserve">nicht komplett unbekannt, seine </w:t>
      </w:r>
      <w:r w:rsidR="000D7EB6">
        <w:t xml:space="preserve">neue Aufgabe bei Gucci, jedoch mit Abstand die größte seiner Karriere ist. </w:t>
      </w:r>
      <w:r w:rsidR="001A36EB">
        <w:t xml:space="preserve">Daher bleibt es abzuwarten, wie Gucci sich in den kommen Jahren entwickeln wird. </w:t>
      </w:r>
    </w:p>
    <w:p w14:paraId="2B315496" w14:textId="61DD03F4" w:rsidR="00705D19" w:rsidRDefault="00705D19" w:rsidP="002814FF">
      <w:r>
        <w:t xml:space="preserve">Kering </w:t>
      </w:r>
      <w:proofErr w:type="spellStart"/>
      <w:r>
        <w:t>Eyewear</w:t>
      </w:r>
      <w:proofErr w:type="spellEnd"/>
      <w:r>
        <w:t xml:space="preserve"> war </w:t>
      </w:r>
      <w:r w:rsidR="00D434FB">
        <w:t xml:space="preserve">das am schnellst wachsenste Unternehmen in </w:t>
      </w:r>
      <w:proofErr w:type="spellStart"/>
      <w:r w:rsidR="00D434FB">
        <w:t>Kerings</w:t>
      </w:r>
      <w:proofErr w:type="spellEnd"/>
      <w:r w:rsidR="00D434FB">
        <w:t xml:space="preserve"> Portfolio</w:t>
      </w:r>
      <w:r w:rsidR="00B16B9B">
        <w:t xml:space="preserve">. Gegründet wurde Kering </w:t>
      </w:r>
      <w:proofErr w:type="spellStart"/>
      <w:r w:rsidR="00B16B9B">
        <w:t>Eyewear</w:t>
      </w:r>
      <w:proofErr w:type="spellEnd"/>
      <w:r w:rsidR="00B16B9B">
        <w:t xml:space="preserve"> 2014. Heute, also fast zehn Jahre später, ist Kering </w:t>
      </w:r>
      <w:proofErr w:type="spellStart"/>
      <w:r w:rsidR="00B16B9B">
        <w:t>Eyewear</w:t>
      </w:r>
      <w:proofErr w:type="spellEnd"/>
      <w:r w:rsidR="00B16B9B">
        <w:t xml:space="preserve"> </w:t>
      </w:r>
      <w:r w:rsidR="005970D6">
        <w:t xml:space="preserve">noch immer nicht profitabel und schreibt rote Zahlen. Daher bleibt es </w:t>
      </w:r>
      <w:r w:rsidR="00E84E87">
        <w:t xml:space="preserve">abzuwarten, wie sich Kering </w:t>
      </w:r>
      <w:proofErr w:type="spellStart"/>
      <w:r w:rsidR="00E84E87">
        <w:t>Beatué</w:t>
      </w:r>
      <w:proofErr w:type="spellEnd"/>
      <w:r w:rsidR="00E84E87">
        <w:t xml:space="preserve"> entwickeln wird.</w:t>
      </w:r>
    </w:p>
    <w:p w14:paraId="7ABF0440" w14:textId="5A4492FA" w:rsidR="00A664AB" w:rsidRDefault="006D68A9" w:rsidP="002814FF">
      <w:r>
        <w:t>D</w:t>
      </w:r>
      <w:r w:rsidR="003C3966">
        <w:t xml:space="preserve">as schwere Wirtschaftsumfeld für die Modeindustrie im Jahr 2024 ist ein weiterer </w:t>
      </w:r>
      <w:r w:rsidR="00DC1632">
        <w:t>Faktor, der gegen Kering spricht</w:t>
      </w:r>
      <w:r w:rsidR="0036429D">
        <w:t>.</w:t>
      </w:r>
      <w:r w:rsidR="00943BA8">
        <w:t xml:space="preserve"> Obwohl der </w:t>
      </w:r>
      <w:r w:rsidR="006D481F">
        <w:t xml:space="preserve">globale Luxusmarkt </w:t>
      </w:r>
      <w:r w:rsidR="00C24B02">
        <w:t xml:space="preserve">ein Wachstumsmarkt ist, prophezeit McKinsey, dass 2024 ein schwieriges </w:t>
      </w:r>
      <w:r w:rsidR="00262770">
        <w:t xml:space="preserve">Jahr für die </w:t>
      </w:r>
      <w:r w:rsidR="009539AF">
        <w:t>Mode-</w:t>
      </w:r>
      <w:r w:rsidR="00262770">
        <w:t xml:space="preserve">Branche wird. </w:t>
      </w:r>
      <w:r w:rsidR="00743AE0">
        <w:t xml:space="preserve">Gründe dafür seien </w:t>
      </w:r>
      <w:r w:rsidR="00583F1F">
        <w:t xml:space="preserve">eine Mischung </w:t>
      </w:r>
      <w:r w:rsidR="004B68F4">
        <w:t>aus geopolitischen und makroökon</w:t>
      </w:r>
      <w:r w:rsidR="001132FF">
        <w:t xml:space="preserve">omischen Gründen. </w:t>
      </w:r>
      <w:r w:rsidR="00A171D2">
        <w:t>Hohe Inflation</w:t>
      </w:r>
      <w:r w:rsidR="008549E1">
        <w:t>sraten</w:t>
      </w:r>
      <w:r w:rsidR="00A171D2">
        <w:t>, die unsichere pol</w:t>
      </w:r>
      <w:r w:rsidR="00633C83">
        <w:t xml:space="preserve">itische Lage sowie </w:t>
      </w:r>
      <w:r w:rsidR="0021295A">
        <w:t>andere Herausforderungen der Zukunft (wie z.B. d</w:t>
      </w:r>
      <w:r w:rsidR="00D040CB">
        <w:t xml:space="preserve">er Klimawandel) führen </w:t>
      </w:r>
      <w:r w:rsidR="00464C1C">
        <w:t xml:space="preserve">zu geringen Vertrauen </w:t>
      </w:r>
      <w:r w:rsidR="00A664AB">
        <w:t xml:space="preserve">und Unsicherheit innerhalb der Kunden. Dies </w:t>
      </w:r>
      <w:r w:rsidR="00B562EE">
        <w:t xml:space="preserve">werde sich laut McKinsey im Kaufverhalten </w:t>
      </w:r>
      <w:r w:rsidR="007F7AE6">
        <w:t>der Kunden bemerkbar machen.</w:t>
      </w:r>
      <w:r w:rsidR="00C70480">
        <w:t xml:space="preserve"> Am meisten sei die Europäische Mode</w:t>
      </w:r>
      <w:r w:rsidR="009539AF">
        <w:t>industrie betroffen.</w:t>
      </w:r>
      <w:r w:rsidR="00C70480">
        <w:t xml:space="preserve"> </w:t>
      </w:r>
    </w:p>
    <w:p w14:paraId="24191E74" w14:textId="3453F3B3" w:rsidR="002814FF" w:rsidRPr="00DC0582" w:rsidRDefault="00685BC9" w:rsidP="002814FF">
      <w:r>
        <w:t xml:space="preserve">Der „Schein“ Kering sei kein zyklisches Unternehmen trügt in gewisser Weise. </w:t>
      </w:r>
      <w:r w:rsidR="00A13A6B">
        <w:t xml:space="preserve">Obwohl </w:t>
      </w:r>
      <w:proofErr w:type="spellStart"/>
      <w:r w:rsidR="00A13A6B">
        <w:t>Kerings</w:t>
      </w:r>
      <w:proofErr w:type="spellEnd"/>
      <w:r w:rsidR="00A13A6B">
        <w:t xml:space="preserve"> Umsätze </w:t>
      </w:r>
      <w:r w:rsidR="0025730E">
        <w:t>nur eine geringe Korrelation mit de</w:t>
      </w:r>
      <w:r w:rsidR="00E72149">
        <w:t xml:space="preserve">m </w:t>
      </w:r>
      <w:r w:rsidR="001716B1">
        <w:t>g</w:t>
      </w:r>
      <w:r w:rsidR="00E72149">
        <w:t>esamtwirtschaftlich</w:t>
      </w:r>
      <w:r w:rsidR="001716B1">
        <w:t>en Umfeld aufweist</w:t>
      </w:r>
      <w:r w:rsidR="00C04752">
        <w:t xml:space="preserve">, lässt sich trotzdem eine starke Volatilität in </w:t>
      </w:r>
      <w:proofErr w:type="spellStart"/>
      <w:r w:rsidR="00C04752">
        <w:t>Kerings</w:t>
      </w:r>
      <w:proofErr w:type="spellEnd"/>
      <w:r w:rsidR="00C04752">
        <w:t xml:space="preserve"> Ums</w:t>
      </w:r>
      <w:r w:rsidR="00905EB1">
        <w:t xml:space="preserve">ätzen wiederfinden. Schaut auf </w:t>
      </w:r>
      <w:proofErr w:type="spellStart"/>
      <w:r w:rsidR="00905EB1">
        <w:t>Kerings</w:t>
      </w:r>
      <w:proofErr w:type="spellEnd"/>
      <w:r w:rsidR="00905EB1">
        <w:t xml:space="preserve"> Umsätze </w:t>
      </w:r>
      <w:r w:rsidR="00C1478C">
        <w:t xml:space="preserve">der </w:t>
      </w:r>
      <w:r w:rsidR="00C1478C">
        <w:lastRenderedPageBreak/>
        <w:t xml:space="preserve">letzten </w:t>
      </w:r>
      <w:r w:rsidR="004346BE">
        <w:t>15 Jahren, erkennt man</w:t>
      </w:r>
      <w:r w:rsidR="00392C27">
        <w:t>, dass das Umsatz</w:t>
      </w:r>
      <w:r w:rsidR="00303CC5">
        <w:t>wachstum</w:t>
      </w:r>
      <w:r w:rsidR="00392C27">
        <w:t xml:space="preserve"> in diesem Zeitraum nur einmal in zweiaufeinanderfolgenden Jahren </w:t>
      </w:r>
      <w:r w:rsidR="00303CC5">
        <w:t xml:space="preserve">positiv war. Dies lässt </w:t>
      </w:r>
      <w:r w:rsidR="000C3491">
        <w:t xml:space="preserve">wahrscheinlich dadurch erklären, dass die Modeindustrie </w:t>
      </w:r>
      <w:r w:rsidR="00D23E41">
        <w:t xml:space="preserve">(auch Luxus-Mode) </w:t>
      </w:r>
      <w:r w:rsidR="00910E23">
        <w:t>eine sehr schnelllebige und volatile Industrie ist und stark von kurzfristigen und schnellen Trends bestimmt wird</w:t>
      </w:r>
      <w:r w:rsidR="007E0BF9">
        <w:t xml:space="preserve">. Dies wird in Zukunft wahrscheinlich noch weiter </w:t>
      </w:r>
      <w:r w:rsidR="00656B9C">
        <w:t xml:space="preserve">zunehmen. Auch </w:t>
      </w:r>
      <w:r w:rsidR="00866E99">
        <w:t>im</w:t>
      </w:r>
      <w:r w:rsidR="00656B9C">
        <w:t xml:space="preserve"> abgeschlossen </w:t>
      </w:r>
      <w:r w:rsidR="00BE4E5E">
        <w:t>Geschäftsjahr 2023 wird</w:t>
      </w:r>
      <w:r w:rsidR="00866E99">
        <w:t xml:space="preserve"> sich der Umsatz</w:t>
      </w:r>
      <w:r w:rsidR="00BE4E5E">
        <w:t xml:space="preserve"> zu großer</w:t>
      </w:r>
      <w:r w:rsidR="00866E99">
        <w:t xml:space="preserve"> Wahrscheinlichkeit </w:t>
      </w:r>
      <w:r w:rsidR="002248D4">
        <w:t>verringert haben (Geschäftsbericht wurde noch nicht veröffentlicht)</w:t>
      </w:r>
      <w:r w:rsidR="004020FC">
        <w:t>.</w:t>
      </w:r>
      <w:r w:rsidR="00BE4E5E">
        <w:t xml:space="preserve">  </w:t>
      </w:r>
    </w:p>
    <w:p w14:paraId="321FC1C9" w14:textId="75E49192" w:rsidR="002814FF" w:rsidRPr="00DC0582" w:rsidRDefault="004020FC" w:rsidP="002814FF">
      <w:r>
        <w:rPr>
          <w:noProof/>
        </w:rPr>
        <w:drawing>
          <wp:anchor distT="0" distB="0" distL="114300" distR="114300" simplePos="0" relativeHeight="251681801" behindDoc="0" locked="0" layoutInCell="1" allowOverlap="1" wp14:anchorId="36FE214B" wp14:editId="1EE7BD86">
            <wp:simplePos x="0" y="0"/>
            <wp:positionH relativeFrom="margin">
              <wp:align>left</wp:align>
            </wp:positionH>
            <wp:positionV relativeFrom="paragraph">
              <wp:posOffset>5321</wp:posOffset>
            </wp:positionV>
            <wp:extent cx="4572000" cy="2743200"/>
            <wp:effectExtent l="0" t="0" r="0" b="0"/>
            <wp:wrapNone/>
            <wp:docPr id="416791014" name="Diagramm 1">
              <a:extLst xmlns:a="http://schemas.openxmlformats.org/drawingml/2006/main">
                <a:ext uri="{FF2B5EF4-FFF2-40B4-BE49-F238E27FC236}">
                  <a16:creationId xmlns:a16="http://schemas.microsoft.com/office/drawing/2014/main" id="{EB919499-4519-D785-E97E-1469571CF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24C938D2" w14:textId="2D8F3030" w:rsidR="002814FF" w:rsidRPr="00DC0582" w:rsidRDefault="002814FF" w:rsidP="002814FF"/>
    <w:p w14:paraId="33E5F8F1" w14:textId="13A491E8" w:rsidR="00DD3CA3" w:rsidRPr="00DC0582" w:rsidRDefault="00DD3CA3" w:rsidP="002814FF"/>
    <w:p w14:paraId="4E6B55B1" w14:textId="6DDF8603" w:rsidR="00DD3CA3" w:rsidRPr="00DC0582" w:rsidRDefault="00DD3CA3" w:rsidP="002814FF"/>
    <w:p w14:paraId="1FFDB04D" w14:textId="45EC6E72" w:rsidR="00DD3CA3" w:rsidRPr="00DC0582" w:rsidRDefault="00DD3CA3" w:rsidP="002814FF"/>
    <w:p w14:paraId="30F4660B" w14:textId="5D0883DC" w:rsidR="00DD3CA3" w:rsidRPr="00DC0582" w:rsidRDefault="00DD3CA3" w:rsidP="002814FF"/>
    <w:p w14:paraId="7E1C0290" w14:textId="33005AD3" w:rsidR="00DD3CA3" w:rsidRPr="00DC0582" w:rsidRDefault="00DD3CA3" w:rsidP="002814FF"/>
    <w:p w14:paraId="037BD35D" w14:textId="484ED668" w:rsidR="00DD3CA3" w:rsidRPr="00DC0582" w:rsidRDefault="00DD3CA3" w:rsidP="002814FF"/>
    <w:p w14:paraId="439AFD98" w14:textId="3435B3C6" w:rsidR="00DD3CA3" w:rsidRPr="00DC0582" w:rsidRDefault="00DD3CA3" w:rsidP="002814FF"/>
    <w:p w14:paraId="068194CB" w14:textId="48E41697" w:rsidR="00DD3CA3" w:rsidRPr="00DC0582" w:rsidRDefault="007E0BF9" w:rsidP="002814FF">
      <w:r>
        <w:rPr>
          <w:noProof/>
        </w:rPr>
        <mc:AlternateContent>
          <mc:Choice Requires="wps">
            <w:drawing>
              <wp:anchor distT="45720" distB="45720" distL="114300" distR="114300" simplePos="0" relativeHeight="251683849" behindDoc="1" locked="0" layoutInCell="1" allowOverlap="1" wp14:anchorId="6FE362DE" wp14:editId="3479B143">
                <wp:simplePos x="0" y="0"/>
                <wp:positionH relativeFrom="column">
                  <wp:posOffset>-113030</wp:posOffset>
                </wp:positionH>
                <wp:positionV relativeFrom="paragraph">
                  <wp:posOffset>122555</wp:posOffset>
                </wp:positionV>
                <wp:extent cx="4537075" cy="1404620"/>
                <wp:effectExtent l="0" t="0" r="0" b="5080"/>
                <wp:wrapNone/>
                <wp:docPr id="570348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1404620"/>
                        </a:xfrm>
                        <a:prstGeom prst="rect">
                          <a:avLst/>
                        </a:prstGeom>
                        <a:solidFill>
                          <a:srgbClr val="FFFFFF"/>
                        </a:solidFill>
                        <a:ln w="9525">
                          <a:noFill/>
                          <a:miter lim="800000"/>
                          <a:headEnd/>
                          <a:tailEnd/>
                        </a:ln>
                      </wps:spPr>
                      <wps:txbx>
                        <w:txbxContent>
                          <w:p w14:paraId="2B357AAB" w14:textId="4DC044E3" w:rsidR="009539AF" w:rsidRPr="00EB0315" w:rsidRDefault="00EB0315" w:rsidP="00EB0315">
                            <w:pPr>
                              <w:rPr>
                                <w:color w:val="808080" w:themeColor="background1" w:themeShade="80"/>
                                <w:sz w:val="14"/>
                                <w:szCs w:val="14"/>
                              </w:rPr>
                            </w:pPr>
                            <w:r w:rsidRPr="00EB0315">
                              <w:rPr>
                                <w:color w:val="808080" w:themeColor="background1" w:themeShade="80"/>
                                <w:sz w:val="14"/>
                                <w:szCs w:val="14"/>
                              </w:rPr>
                              <w:t>*Umsatzzahlen sind in US-Dollar und weichen somit von den Umsatzzahlen in Euro 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362DE" id="_x0000_s1034" type="#_x0000_t202" style="position:absolute;margin-left:-8.9pt;margin-top:9.65pt;width:357.25pt;height:110.6pt;z-index:-25163263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s6EwIAAP4DAAAOAAAAZHJzL2Uyb0RvYy54bWysk99u2yAUxu8n7R0Q94udLGlaK07Vpcs0&#10;qfsjdXsAjHGMhjnsQGJnT98DTtOou5vmCwQ+8HHO73ysbofOsINCr8GWfDrJOVNWQq3truQ/f2zf&#10;XXP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" stroked="f">
                <v:textbox style="mso-fit-shape-to-text:t">
                  <w:txbxContent>
                    <w:p w14:paraId="2B357AAB" w14:textId="4DC044E3" w:rsidR="009539AF" w:rsidRPr="00EB0315" w:rsidRDefault="00EB0315" w:rsidP="00EB0315">
                      <w:pPr>
                        <w:rPr>
                          <w:color w:val="808080" w:themeColor="background1" w:themeShade="80"/>
                          <w:sz w:val="14"/>
                          <w:szCs w:val="14"/>
                        </w:rPr>
                      </w:pPr>
                      <w:r w:rsidRPr="00EB0315">
                        <w:rPr>
                          <w:color w:val="808080" w:themeColor="background1" w:themeShade="80"/>
                          <w:sz w:val="14"/>
                          <w:szCs w:val="14"/>
                        </w:rPr>
                        <w:t>*Umsatzzahlen sind in US-Dollar und weichen somit von den Umsatzzahlen in Euro ab</w:t>
                      </w:r>
                    </w:p>
                  </w:txbxContent>
                </v:textbox>
              </v:shape>
            </w:pict>
          </mc:Fallback>
        </mc:AlternateContent>
      </w:r>
    </w:p>
    <w:p w14:paraId="199C0148" w14:textId="446F0FF5" w:rsidR="00DD3CA3" w:rsidRPr="00DC0582" w:rsidRDefault="00DD3CA3" w:rsidP="002814FF"/>
    <w:p w14:paraId="36BE1B80" w14:textId="20E95737" w:rsidR="00A03800" w:rsidRPr="00DC0582" w:rsidRDefault="00656B9C" w:rsidP="00B225B7">
      <w:r>
        <w:t xml:space="preserve">Schaut man auf die Bewertung der Kering Aktie, so </w:t>
      </w:r>
      <w:r w:rsidR="004020FC">
        <w:t>er</w:t>
      </w:r>
      <w:r>
        <w:t>scheint diese auf den ersten Blick</w:t>
      </w:r>
      <w:r w:rsidR="004020FC">
        <w:t xml:space="preserve"> als günstig. Sollte jedoch der absolute </w:t>
      </w:r>
      <w:proofErr w:type="spellStart"/>
      <w:r w:rsidR="004020FC">
        <w:t>Worst</w:t>
      </w:r>
      <w:proofErr w:type="spellEnd"/>
      <w:r w:rsidR="004020FC">
        <w:t>-Case</w:t>
      </w:r>
      <w:r w:rsidR="003F5F03">
        <w:t xml:space="preserve"> eintreten (siehe Kering DCF), ist die Kering Aktie aktuell noch immer </w:t>
      </w:r>
      <w:r w:rsidR="007A5200">
        <w:t>knapp 60% überbewertet.</w:t>
      </w:r>
    </w:p>
    <w:p w14:paraId="32020C10" w14:textId="4BD8EF8A" w:rsidR="00A03800" w:rsidRPr="00DC0582" w:rsidRDefault="00A03800" w:rsidP="00F0539E">
      <w:pPr>
        <w:pStyle w:val="berschrift2"/>
      </w:pPr>
    </w:p>
    <w:p w14:paraId="0EC7A794" w14:textId="71D1DE2E" w:rsidR="00870322" w:rsidRPr="00DC0582" w:rsidRDefault="00870322" w:rsidP="00A03800">
      <w:pPr>
        <w:pStyle w:val="berschrift2"/>
      </w:pPr>
      <w:bookmarkStart w:id="30" w:name="_Toc156824956"/>
      <w:r w:rsidRPr="00DC0582">
        <w:t>Fazit</w:t>
      </w:r>
      <w:bookmarkEnd w:id="30"/>
      <w:r w:rsidRPr="00DC0582">
        <w:t xml:space="preserve"> </w:t>
      </w:r>
    </w:p>
    <w:p w14:paraId="4A187268" w14:textId="77777777" w:rsidR="00037847" w:rsidRDefault="00037847">
      <w:r>
        <w:rPr>
          <w:noProof/>
        </w:rPr>
        <w:drawing>
          <wp:anchor distT="0" distB="0" distL="114300" distR="114300" simplePos="0" relativeHeight="251684873" behindDoc="1" locked="0" layoutInCell="1" allowOverlap="1" wp14:anchorId="6504539A" wp14:editId="54DC6243">
            <wp:simplePos x="0" y="0"/>
            <wp:positionH relativeFrom="margin">
              <wp:align>left</wp:align>
            </wp:positionH>
            <wp:positionV relativeFrom="paragraph">
              <wp:posOffset>1468248</wp:posOffset>
            </wp:positionV>
            <wp:extent cx="3975735" cy="1301750"/>
            <wp:effectExtent l="0" t="0" r="5715" b="0"/>
            <wp:wrapTopAndBottom/>
            <wp:docPr id="8605272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27289" name="Grafik 1" descr="Ein Bild, das Text, Screenshot, Schrift, Zahl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975735" cy="1301750"/>
                    </a:xfrm>
                    <a:prstGeom prst="rect">
                      <a:avLst/>
                    </a:prstGeom>
                  </pic:spPr>
                </pic:pic>
              </a:graphicData>
            </a:graphic>
            <wp14:sizeRelH relativeFrom="margin">
              <wp14:pctWidth>0</wp14:pctWidth>
            </wp14:sizeRelH>
            <wp14:sizeRelV relativeFrom="margin">
              <wp14:pctHeight>0</wp14:pctHeight>
            </wp14:sizeRelV>
          </wp:anchor>
        </w:drawing>
      </w:r>
      <w:r w:rsidR="000716C1">
        <w:t xml:space="preserve">Kering </w:t>
      </w:r>
      <w:r w:rsidR="009F722A">
        <w:t xml:space="preserve">ist ein finanziell stabil aufgestellter </w:t>
      </w:r>
      <w:r w:rsidR="00675C8F">
        <w:t>Multimarken-Konzern</w:t>
      </w:r>
      <w:r w:rsidR="00807476">
        <w:t xml:space="preserve">. </w:t>
      </w:r>
      <w:r w:rsidR="00C70517">
        <w:t>Das Unternehmen erzielt hohe Kapitalrenditen, ist ein eindeutiger Wertschöpfer</w:t>
      </w:r>
      <w:r w:rsidR="00E051FC">
        <w:t xml:space="preserve"> und weist eine niedrige </w:t>
      </w:r>
      <w:r w:rsidR="00C70517">
        <w:t xml:space="preserve"> </w:t>
      </w:r>
      <w:r w:rsidR="00807476">
        <w:t>Marken wie Gucci oder Saint Laurent besitzen eine enorme Strahlkraft</w:t>
      </w:r>
      <w:r w:rsidR="0051477F">
        <w:t xml:space="preserve"> und </w:t>
      </w:r>
      <w:r w:rsidR="00776612">
        <w:t xml:space="preserve">eine </w:t>
      </w:r>
      <w:r w:rsidR="0051477F">
        <w:t>spektakuläre Geschichte</w:t>
      </w:r>
      <w:r w:rsidR="004F0DE1">
        <w:t xml:space="preserve">. Zudem stehen die langfristigen </w:t>
      </w:r>
      <w:r w:rsidR="00331CDA">
        <w:t xml:space="preserve">Aussichten für den Luxusmodemarkt sehr günstig. Daher </w:t>
      </w:r>
      <w:r w:rsidR="007374C3">
        <w:t>erscheint der Base Case</w:t>
      </w:r>
      <w:r w:rsidR="00331CDA">
        <w:t xml:space="preserve"> </w:t>
      </w:r>
      <w:r w:rsidR="0069457F">
        <w:t>langfristig</w:t>
      </w:r>
      <w:r w:rsidR="007374C3">
        <w:t xml:space="preserve"> </w:t>
      </w:r>
      <w:r w:rsidR="0069457F">
        <w:t xml:space="preserve">etwas </w:t>
      </w:r>
      <w:r w:rsidR="007374C3">
        <w:t xml:space="preserve">realistischer als der </w:t>
      </w:r>
      <w:proofErr w:type="spellStart"/>
      <w:r w:rsidR="007374C3">
        <w:t>Worst</w:t>
      </w:r>
      <w:proofErr w:type="spellEnd"/>
      <w:r w:rsidR="007374C3">
        <w:t xml:space="preserve"> Case</w:t>
      </w:r>
      <w:r w:rsidR="00062743">
        <w:t xml:space="preserve">. Gewichtet man den Base Case mit einer Wahrscheinlichkeit p von 60% und den </w:t>
      </w:r>
      <w:proofErr w:type="spellStart"/>
      <w:r w:rsidR="00062743">
        <w:t>Worst</w:t>
      </w:r>
      <w:proofErr w:type="spellEnd"/>
      <w:r w:rsidR="00062743">
        <w:t xml:space="preserve"> Case mit eine</w:t>
      </w:r>
      <w:r w:rsidR="004421EE">
        <w:t>r Wahrscheinlichkeit p von 40%, so ergibt sich ein äußerst attraktives Chancen-Risiko</w:t>
      </w:r>
      <w:r>
        <w:t xml:space="preserve"> </w:t>
      </w:r>
      <w:r w:rsidR="004421EE">
        <w:t>Verhältnis von ungefähr 1 zu 3</w:t>
      </w:r>
      <w:r w:rsidR="006F1082">
        <w:t xml:space="preserve"> (Siehe: Ermittlung Chancen</w:t>
      </w:r>
      <w:r>
        <w:t>-Risiko Verhältnis)</w:t>
      </w:r>
      <w:r w:rsidR="004421EE">
        <w:t xml:space="preserve">. </w:t>
      </w:r>
    </w:p>
    <w:p w14:paraId="651AE726" w14:textId="77777777" w:rsidR="00ED4AAF" w:rsidRDefault="00ED4AAF"/>
    <w:p w14:paraId="7EF4EA99" w14:textId="67DEB036" w:rsidR="0088721B" w:rsidRDefault="00446EA4">
      <w:r>
        <w:t xml:space="preserve">Gepaart mit der </w:t>
      </w:r>
      <w:r w:rsidR="00613DED">
        <w:t>sehr günstigen Bewertung, sowohl aus einer historischen sowie relativen Sicht</w:t>
      </w:r>
      <w:r w:rsidR="000C44A2">
        <w:t xml:space="preserve">, ist Kering </w:t>
      </w:r>
      <w:r w:rsidR="005158E3">
        <w:t>langfristig</w:t>
      </w:r>
      <w:r w:rsidR="000C44A2">
        <w:t xml:space="preserve"> eine spannende Wette mit </w:t>
      </w:r>
      <w:proofErr w:type="spellStart"/>
      <w:r w:rsidR="005158E3">
        <w:t>Upside</w:t>
      </w:r>
      <w:proofErr w:type="spellEnd"/>
      <w:r w:rsidR="005158E3">
        <w:t xml:space="preserve">-Potential. Das abgelaufene Geschäftsjahr </w:t>
      </w:r>
      <w:r w:rsidR="00D41B45">
        <w:t xml:space="preserve">2023 erwies und wird sich noch weiter als operativ schwieriges Geschäftsjahr </w:t>
      </w:r>
      <w:r w:rsidR="00F71EA9">
        <w:t xml:space="preserve">für Kering. Dies ist </w:t>
      </w:r>
      <w:r w:rsidR="00464FE1">
        <w:t xml:space="preserve">zwar </w:t>
      </w:r>
      <w:r w:rsidR="00464FE1">
        <w:lastRenderedPageBreak/>
        <w:t xml:space="preserve">schon in den aktuellen </w:t>
      </w:r>
      <w:r w:rsidR="00BE5C11">
        <w:t>Kurs eingepreist, ist bleibt jedoch abzuwarten, ob die</w:t>
      </w:r>
      <w:r w:rsidR="00F80EC5">
        <w:t xml:space="preserve"> Zahlen aus 2023 die Erwartungen unter- oder übertreffen. </w:t>
      </w:r>
      <w:r w:rsidR="00A60B9E">
        <w:t>Sollten sich die Zahlen aus 2023 schlechter als er</w:t>
      </w:r>
      <w:r w:rsidR="00E25160">
        <w:t>wartet erweisen, könnte die Kering Aktie noch weiterfallen</w:t>
      </w:r>
      <w:r w:rsidR="00671946">
        <w:t>, auch wenn di</w:t>
      </w:r>
      <w:r w:rsidR="00232BD8">
        <w:t>e Kursfantasie nach unten eigentlich begrenzt ist, da die Aktie auf einer ein Jahres Basis bereits ca. 35% gefallen. Tro</w:t>
      </w:r>
      <w:r w:rsidR="000F73DA">
        <w:t>tzdem empfiehlt es eine Position bei Kering über einen längeren Zeitraum aufzubauen.</w:t>
      </w:r>
      <w:r w:rsidR="00182518">
        <w:t xml:space="preserve"> </w:t>
      </w:r>
      <w:proofErr w:type="spellStart"/>
      <w:r w:rsidR="00182518">
        <w:t>Kerings</w:t>
      </w:r>
      <w:proofErr w:type="spellEnd"/>
      <w:r w:rsidR="00182518">
        <w:t xml:space="preserve"> Jahresabschluss wird vermutlich Mitte Februar </w:t>
      </w:r>
      <w:r w:rsidR="00B950E2">
        <w:t xml:space="preserve">veröffentlicht. </w:t>
      </w:r>
      <w:r w:rsidR="00F72E41">
        <w:t xml:space="preserve">Eine potentielle Position bei Kering sollte also frühstens </w:t>
      </w:r>
      <w:r w:rsidR="00895C8B">
        <w:t xml:space="preserve">Ende Februar vollständig aufgebaut sein. Da die Kering Aktie aber auch positiv </w:t>
      </w:r>
      <w:r w:rsidR="00EE0F15">
        <w:t>auf den Jahresabschluss reagieren könnte, sollte auf jeden Fall ein Teil der Position</w:t>
      </w:r>
      <w:r w:rsidR="006F1082">
        <w:t xml:space="preserve"> schon</w:t>
      </w:r>
      <w:r w:rsidR="00EE0F15">
        <w:t xml:space="preserve"> vor</w:t>
      </w:r>
      <w:r w:rsidR="006F1082">
        <w:t xml:space="preserve"> Veröffentlichung der Zahlen aus 2023 aufgebaut sein.</w:t>
      </w:r>
    </w:p>
    <w:p w14:paraId="6320106C" w14:textId="07041D1F" w:rsidR="0088721B" w:rsidRDefault="0088721B"/>
    <w:p w14:paraId="33D4A0BD" w14:textId="20432D82" w:rsidR="0088721B" w:rsidRDefault="0088721B"/>
    <w:p w14:paraId="216C7F26" w14:textId="4ADFF6EA" w:rsidR="0088721B" w:rsidRDefault="0088721B"/>
    <w:p w14:paraId="778DDFEF" w14:textId="3B6EDD9A" w:rsidR="00870322" w:rsidRPr="00EB15CF" w:rsidRDefault="00870322"/>
    <w:p w14:paraId="3558BF00" w14:textId="4C732D9F" w:rsidR="00870322" w:rsidRPr="00EB15CF" w:rsidRDefault="00870322"/>
    <w:p w14:paraId="3FD8B49D" w14:textId="77777777" w:rsidR="00870322" w:rsidRPr="00EB15CF" w:rsidRDefault="00870322"/>
    <w:p w14:paraId="53AB14C5" w14:textId="59F932B4" w:rsidR="00870322" w:rsidRPr="00EB15CF" w:rsidRDefault="00870322"/>
    <w:sectPr w:rsidR="00870322" w:rsidRPr="00EB15CF" w:rsidSect="00D0505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1649C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1" type="#_x0000_t75" style="width:11.25pt;height:11.25pt" o:bullet="t">
        <v:imagedata r:id="rId1" o:title="mso12E4"/>
      </v:shape>
    </w:pict>
  </w:numPicBullet>
  <w:abstractNum w:abstractNumId="0" w15:restartNumberingAfterBreak="0">
    <w:nsid w:val="0B072E44"/>
    <w:multiLevelType w:val="multilevel"/>
    <w:tmpl w:val="54C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D2994"/>
    <w:multiLevelType w:val="hybridMultilevel"/>
    <w:tmpl w:val="141005E2"/>
    <w:lvl w:ilvl="0" w:tplc="C6B8FF2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4323726">
    <w:abstractNumId w:val="0"/>
  </w:num>
  <w:num w:numId="2" w16cid:durableId="1990939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22"/>
    <w:rsid w:val="000176A3"/>
    <w:rsid w:val="00030C94"/>
    <w:rsid w:val="0003123B"/>
    <w:rsid w:val="00031384"/>
    <w:rsid w:val="000330E6"/>
    <w:rsid w:val="000361A7"/>
    <w:rsid w:val="00037847"/>
    <w:rsid w:val="0004037C"/>
    <w:rsid w:val="00041712"/>
    <w:rsid w:val="00041F21"/>
    <w:rsid w:val="00044614"/>
    <w:rsid w:val="00046709"/>
    <w:rsid w:val="00051FA1"/>
    <w:rsid w:val="00054144"/>
    <w:rsid w:val="00056CA7"/>
    <w:rsid w:val="0005713B"/>
    <w:rsid w:val="0005760C"/>
    <w:rsid w:val="00057A9A"/>
    <w:rsid w:val="00057E66"/>
    <w:rsid w:val="00062743"/>
    <w:rsid w:val="00063455"/>
    <w:rsid w:val="000652DA"/>
    <w:rsid w:val="000655D3"/>
    <w:rsid w:val="00070F3B"/>
    <w:rsid w:val="000716C1"/>
    <w:rsid w:val="000725C2"/>
    <w:rsid w:val="000734B7"/>
    <w:rsid w:val="0007524A"/>
    <w:rsid w:val="00080C86"/>
    <w:rsid w:val="00085C73"/>
    <w:rsid w:val="00087791"/>
    <w:rsid w:val="00091934"/>
    <w:rsid w:val="00092794"/>
    <w:rsid w:val="00093C95"/>
    <w:rsid w:val="000961E0"/>
    <w:rsid w:val="00096211"/>
    <w:rsid w:val="00096AE6"/>
    <w:rsid w:val="000A1551"/>
    <w:rsid w:val="000A38C2"/>
    <w:rsid w:val="000A4BF8"/>
    <w:rsid w:val="000B15D1"/>
    <w:rsid w:val="000B1A48"/>
    <w:rsid w:val="000B292D"/>
    <w:rsid w:val="000B297F"/>
    <w:rsid w:val="000B658E"/>
    <w:rsid w:val="000C2983"/>
    <w:rsid w:val="000C3491"/>
    <w:rsid w:val="000C44A2"/>
    <w:rsid w:val="000C5C6A"/>
    <w:rsid w:val="000C68E6"/>
    <w:rsid w:val="000D21F2"/>
    <w:rsid w:val="000D2CE9"/>
    <w:rsid w:val="000D75CC"/>
    <w:rsid w:val="000D7E89"/>
    <w:rsid w:val="000D7EB6"/>
    <w:rsid w:val="000E222D"/>
    <w:rsid w:val="000F0A82"/>
    <w:rsid w:val="000F2B4D"/>
    <w:rsid w:val="000F73DA"/>
    <w:rsid w:val="001049C9"/>
    <w:rsid w:val="00104D6F"/>
    <w:rsid w:val="0011009E"/>
    <w:rsid w:val="00110D60"/>
    <w:rsid w:val="00111DBF"/>
    <w:rsid w:val="0011240C"/>
    <w:rsid w:val="0011252E"/>
    <w:rsid w:val="001132FF"/>
    <w:rsid w:val="001226A0"/>
    <w:rsid w:val="0012394F"/>
    <w:rsid w:val="001269A0"/>
    <w:rsid w:val="0012734B"/>
    <w:rsid w:val="00132087"/>
    <w:rsid w:val="00135C6D"/>
    <w:rsid w:val="001400AA"/>
    <w:rsid w:val="001407E1"/>
    <w:rsid w:val="00140CE9"/>
    <w:rsid w:val="0014351E"/>
    <w:rsid w:val="001446F4"/>
    <w:rsid w:val="00146AE5"/>
    <w:rsid w:val="00147341"/>
    <w:rsid w:val="00147CBF"/>
    <w:rsid w:val="00152631"/>
    <w:rsid w:val="0015413F"/>
    <w:rsid w:val="001601B3"/>
    <w:rsid w:val="00162ED5"/>
    <w:rsid w:val="00163F05"/>
    <w:rsid w:val="0016521E"/>
    <w:rsid w:val="0016560D"/>
    <w:rsid w:val="00165BBC"/>
    <w:rsid w:val="0016747E"/>
    <w:rsid w:val="00167635"/>
    <w:rsid w:val="0017047B"/>
    <w:rsid w:val="001716B1"/>
    <w:rsid w:val="00171D8E"/>
    <w:rsid w:val="00172358"/>
    <w:rsid w:val="00173667"/>
    <w:rsid w:val="00176934"/>
    <w:rsid w:val="0018194F"/>
    <w:rsid w:val="00182066"/>
    <w:rsid w:val="00182518"/>
    <w:rsid w:val="00182C27"/>
    <w:rsid w:val="0018560C"/>
    <w:rsid w:val="00187925"/>
    <w:rsid w:val="00191444"/>
    <w:rsid w:val="0019148A"/>
    <w:rsid w:val="00195EA7"/>
    <w:rsid w:val="001A0C43"/>
    <w:rsid w:val="001A233B"/>
    <w:rsid w:val="001A235A"/>
    <w:rsid w:val="001A36EB"/>
    <w:rsid w:val="001A3DC3"/>
    <w:rsid w:val="001A4308"/>
    <w:rsid w:val="001A7C93"/>
    <w:rsid w:val="001B0F91"/>
    <w:rsid w:val="001B11E2"/>
    <w:rsid w:val="001B1FB8"/>
    <w:rsid w:val="001B5235"/>
    <w:rsid w:val="001B6ACE"/>
    <w:rsid w:val="001C00BF"/>
    <w:rsid w:val="001C1898"/>
    <w:rsid w:val="001D2296"/>
    <w:rsid w:val="001D2591"/>
    <w:rsid w:val="001D4ED8"/>
    <w:rsid w:val="001D57B3"/>
    <w:rsid w:val="001D60CD"/>
    <w:rsid w:val="001D7956"/>
    <w:rsid w:val="001E04E2"/>
    <w:rsid w:val="001E19F7"/>
    <w:rsid w:val="001E3FAA"/>
    <w:rsid w:val="001E4CB8"/>
    <w:rsid w:val="001E69F7"/>
    <w:rsid w:val="001F12CD"/>
    <w:rsid w:val="001F3072"/>
    <w:rsid w:val="001F325D"/>
    <w:rsid w:val="001F4129"/>
    <w:rsid w:val="001F4C98"/>
    <w:rsid w:val="001F510C"/>
    <w:rsid w:val="001F5113"/>
    <w:rsid w:val="0020064D"/>
    <w:rsid w:val="00202653"/>
    <w:rsid w:val="0020311D"/>
    <w:rsid w:val="00203C40"/>
    <w:rsid w:val="0020453B"/>
    <w:rsid w:val="00206F94"/>
    <w:rsid w:val="00206FD2"/>
    <w:rsid w:val="00207B52"/>
    <w:rsid w:val="0021295A"/>
    <w:rsid w:val="00213CD7"/>
    <w:rsid w:val="0021557D"/>
    <w:rsid w:val="00216D15"/>
    <w:rsid w:val="0022240C"/>
    <w:rsid w:val="002248D4"/>
    <w:rsid w:val="002251CD"/>
    <w:rsid w:val="00226270"/>
    <w:rsid w:val="002267F8"/>
    <w:rsid w:val="002276D6"/>
    <w:rsid w:val="0023107C"/>
    <w:rsid w:val="00232BD8"/>
    <w:rsid w:val="00232E5A"/>
    <w:rsid w:val="00232E63"/>
    <w:rsid w:val="002353D9"/>
    <w:rsid w:val="002358CE"/>
    <w:rsid w:val="00237832"/>
    <w:rsid w:val="00237971"/>
    <w:rsid w:val="00243742"/>
    <w:rsid w:val="0024728A"/>
    <w:rsid w:val="0025004B"/>
    <w:rsid w:val="00252D5F"/>
    <w:rsid w:val="00252DF6"/>
    <w:rsid w:val="00253C12"/>
    <w:rsid w:val="0025608C"/>
    <w:rsid w:val="002562DF"/>
    <w:rsid w:val="00256A33"/>
    <w:rsid w:val="0025730E"/>
    <w:rsid w:val="00262770"/>
    <w:rsid w:val="002631BF"/>
    <w:rsid w:val="00263D99"/>
    <w:rsid w:val="00266917"/>
    <w:rsid w:val="0026746B"/>
    <w:rsid w:val="00270052"/>
    <w:rsid w:val="00270897"/>
    <w:rsid w:val="0027129F"/>
    <w:rsid w:val="00275A3E"/>
    <w:rsid w:val="002772E4"/>
    <w:rsid w:val="002775AF"/>
    <w:rsid w:val="002814FF"/>
    <w:rsid w:val="00284E40"/>
    <w:rsid w:val="002934BD"/>
    <w:rsid w:val="002954F8"/>
    <w:rsid w:val="00296CA5"/>
    <w:rsid w:val="00297F44"/>
    <w:rsid w:val="002A2871"/>
    <w:rsid w:val="002A304F"/>
    <w:rsid w:val="002A43F4"/>
    <w:rsid w:val="002C16EA"/>
    <w:rsid w:val="002C2A21"/>
    <w:rsid w:val="002C33A5"/>
    <w:rsid w:val="002C540C"/>
    <w:rsid w:val="002D030A"/>
    <w:rsid w:val="002D2AE1"/>
    <w:rsid w:val="002D2E9B"/>
    <w:rsid w:val="002D405F"/>
    <w:rsid w:val="002D4D75"/>
    <w:rsid w:val="002D5422"/>
    <w:rsid w:val="002D646E"/>
    <w:rsid w:val="002D649B"/>
    <w:rsid w:val="002E1A86"/>
    <w:rsid w:val="002E3163"/>
    <w:rsid w:val="002E473D"/>
    <w:rsid w:val="002E5C3C"/>
    <w:rsid w:val="002F1A85"/>
    <w:rsid w:val="002F35B2"/>
    <w:rsid w:val="002F4356"/>
    <w:rsid w:val="002F4A42"/>
    <w:rsid w:val="002F5B57"/>
    <w:rsid w:val="002F5CFD"/>
    <w:rsid w:val="002F6D3C"/>
    <w:rsid w:val="003028BC"/>
    <w:rsid w:val="0030364A"/>
    <w:rsid w:val="003037E1"/>
    <w:rsid w:val="00303CC5"/>
    <w:rsid w:val="00305207"/>
    <w:rsid w:val="00306EF3"/>
    <w:rsid w:val="0031041D"/>
    <w:rsid w:val="003122A5"/>
    <w:rsid w:val="0031613F"/>
    <w:rsid w:val="00316250"/>
    <w:rsid w:val="00316CD3"/>
    <w:rsid w:val="00322770"/>
    <w:rsid w:val="003231BE"/>
    <w:rsid w:val="003231F9"/>
    <w:rsid w:val="003236C4"/>
    <w:rsid w:val="00323D60"/>
    <w:rsid w:val="00324921"/>
    <w:rsid w:val="00325001"/>
    <w:rsid w:val="00326EAB"/>
    <w:rsid w:val="00330841"/>
    <w:rsid w:val="00331CDA"/>
    <w:rsid w:val="00332733"/>
    <w:rsid w:val="003328AA"/>
    <w:rsid w:val="00332B9E"/>
    <w:rsid w:val="003341E4"/>
    <w:rsid w:val="00336D36"/>
    <w:rsid w:val="00351CDE"/>
    <w:rsid w:val="003601E1"/>
    <w:rsid w:val="003607CA"/>
    <w:rsid w:val="0036093C"/>
    <w:rsid w:val="0036429D"/>
    <w:rsid w:val="00365DD8"/>
    <w:rsid w:val="00366E3C"/>
    <w:rsid w:val="00367520"/>
    <w:rsid w:val="00367BA6"/>
    <w:rsid w:val="00371BC5"/>
    <w:rsid w:val="00373159"/>
    <w:rsid w:val="003746DA"/>
    <w:rsid w:val="00374F26"/>
    <w:rsid w:val="003806B2"/>
    <w:rsid w:val="00383EEC"/>
    <w:rsid w:val="00384F00"/>
    <w:rsid w:val="00392A2F"/>
    <w:rsid w:val="00392C27"/>
    <w:rsid w:val="0039371F"/>
    <w:rsid w:val="00393BF3"/>
    <w:rsid w:val="00396DFF"/>
    <w:rsid w:val="003A1AA8"/>
    <w:rsid w:val="003A3060"/>
    <w:rsid w:val="003A3B6A"/>
    <w:rsid w:val="003A5993"/>
    <w:rsid w:val="003A6793"/>
    <w:rsid w:val="003A6B6E"/>
    <w:rsid w:val="003A7364"/>
    <w:rsid w:val="003B3788"/>
    <w:rsid w:val="003B56CC"/>
    <w:rsid w:val="003C1D59"/>
    <w:rsid w:val="003C2B21"/>
    <w:rsid w:val="003C3110"/>
    <w:rsid w:val="003C3966"/>
    <w:rsid w:val="003C5836"/>
    <w:rsid w:val="003D0A84"/>
    <w:rsid w:val="003D15CA"/>
    <w:rsid w:val="003D3E2E"/>
    <w:rsid w:val="003D405A"/>
    <w:rsid w:val="003D476B"/>
    <w:rsid w:val="003D5509"/>
    <w:rsid w:val="003D7C1E"/>
    <w:rsid w:val="003E1997"/>
    <w:rsid w:val="003E37AA"/>
    <w:rsid w:val="003E7A0C"/>
    <w:rsid w:val="003F0882"/>
    <w:rsid w:val="003F4065"/>
    <w:rsid w:val="003F5F03"/>
    <w:rsid w:val="003F5F37"/>
    <w:rsid w:val="003F69D8"/>
    <w:rsid w:val="003F7C63"/>
    <w:rsid w:val="0040033D"/>
    <w:rsid w:val="004011F4"/>
    <w:rsid w:val="004020FC"/>
    <w:rsid w:val="004046DA"/>
    <w:rsid w:val="00404FD8"/>
    <w:rsid w:val="00406077"/>
    <w:rsid w:val="00407261"/>
    <w:rsid w:val="0040746E"/>
    <w:rsid w:val="004114FC"/>
    <w:rsid w:val="00411F59"/>
    <w:rsid w:val="004130F0"/>
    <w:rsid w:val="00414349"/>
    <w:rsid w:val="00415875"/>
    <w:rsid w:val="00415B7F"/>
    <w:rsid w:val="0041651F"/>
    <w:rsid w:val="00421314"/>
    <w:rsid w:val="00423272"/>
    <w:rsid w:val="0042372B"/>
    <w:rsid w:val="0042484E"/>
    <w:rsid w:val="00425C4B"/>
    <w:rsid w:val="0042621E"/>
    <w:rsid w:val="00427EC8"/>
    <w:rsid w:val="00431B45"/>
    <w:rsid w:val="00433072"/>
    <w:rsid w:val="00433321"/>
    <w:rsid w:val="004346BE"/>
    <w:rsid w:val="0043512F"/>
    <w:rsid w:val="00436271"/>
    <w:rsid w:val="00437106"/>
    <w:rsid w:val="004421EE"/>
    <w:rsid w:val="00444B5C"/>
    <w:rsid w:val="0044554B"/>
    <w:rsid w:val="00445A50"/>
    <w:rsid w:val="00446EA4"/>
    <w:rsid w:val="00446F33"/>
    <w:rsid w:val="00452C1E"/>
    <w:rsid w:val="0045445D"/>
    <w:rsid w:val="0046035D"/>
    <w:rsid w:val="00460D9D"/>
    <w:rsid w:val="00461400"/>
    <w:rsid w:val="00464631"/>
    <w:rsid w:val="00464C1C"/>
    <w:rsid w:val="00464FE1"/>
    <w:rsid w:val="00470024"/>
    <w:rsid w:val="0047155C"/>
    <w:rsid w:val="00473994"/>
    <w:rsid w:val="004744CD"/>
    <w:rsid w:val="0047595D"/>
    <w:rsid w:val="004777C0"/>
    <w:rsid w:val="00477A7B"/>
    <w:rsid w:val="004807B9"/>
    <w:rsid w:val="004818F7"/>
    <w:rsid w:val="00483182"/>
    <w:rsid w:val="004835E2"/>
    <w:rsid w:val="0048467F"/>
    <w:rsid w:val="0048489B"/>
    <w:rsid w:val="00485183"/>
    <w:rsid w:val="00492B59"/>
    <w:rsid w:val="00495CB4"/>
    <w:rsid w:val="004969BB"/>
    <w:rsid w:val="004A1071"/>
    <w:rsid w:val="004A1806"/>
    <w:rsid w:val="004A55C8"/>
    <w:rsid w:val="004B080D"/>
    <w:rsid w:val="004B4AE1"/>
    <w:rsid w:val="004B68F4"/>
    <w:rsid w:val="004B6DF8"/>
    <w:rsid w:val="004B6E1D"/>
    <w:rsid w:val="004C319E"/>
    <w:rsid w:val="004C34A5"/>
    <w:rsid w:val="004C3A65"/>
    <w:rsid w:val="004C3F8C"/>
    <w:rsid w:val="004C46AE"/>
    <w:rsid w:val="004C4AC8"/>
    <w:rsid w:val="004C58CE"/>
    <w:rsid w:val="004C5910"/>
    <w:rsid w:val="004C677C"/>
    <w:rsid w:val="004D057B"/>
    <w:rsid w:val="004D0E53"/>
    <w:rsid w:val="004D17AD"/>
    <w:rsid w:val="004D24C0"/>
    <w:rsid w:val="004D37A1"/>
    <w:rsid w:val="004D7A4E"/>
    <w:rsid w:val="004D7A88"/>
    <w:rsid w:val="004E0B40"/>
    <w:rsid w:val="004E286F"/>
    <w:rsid w:val="004E2AF1"/>
    <w:rsid w:val="004E2C43"/>
    <w:rsid w:val="004E5FE9"/>
    <w:rsid w:val="004F0DE1"/>
    <w:rsid w:val="004F13D7"/>
    <w:rsid w:val="004F1E54"/>
    <w:rsid w:val="004F451B"/>
    <w:rsid w:val="00502971"/>
    <w:rsid w:val="0050430A"/>
    <w:rsid w:val="0050504B"/>
    <w:rsid w:val="0051477F"/>
    <w:rsid w:val="005152E3"/>
    <w:rsid w:val="005158E3"/>
    <w:rsid w:val="00516822"/>
    <w:rsid w:val="0051799D"/>
    <w:rsid w:val="00520A19"/>
    <w:rsid w:val="00522381"/>
    <w:rsid w:val="005233B2"/>
    <w:rsid w:val="00523ECB"/>
    <w:rsid w:val="00524DD4"/>
    <w:rsid w:val="00527D6B"/>
    <w:rsid w:val="005310E0"/>
    <w:rsid w:val="00532F7A"/>
    <w:rsid w:val="00534814"/>
    <w:rsid w:val="005377FE"/>
    <w:rsid w:val="005406B6"/>
    <w:rsid w:val="005444B0"/>
    <w:rsid w:val="005446AA"/>
    <w:rsid w:val="00546271"/>
    <w:rsid w:val="00547248"/>
    <w:rsid w:val="005473F8"/>
    <w:rsid w:val="0054775C"/>
    <w:rsid w:val="0055339C"/>
    <w:rsid w:val="00554B1A"/>
    <w:rsid w:val="00556F74"/>
    <w:rsid w:val="00556F98"/>
    <w:rsid w:val="00557877"/>
    <w:rsid w:val="00560156"/>
    <w:rsid w:val="00560DA9"/>
    <w:rsid w:val="0056293C"/>
    <w:rsid w:val="00564986"/>
    <w:rsid w:val="00564F1C"/>
    <w:rsid w:val="00567B3C"/>
    <w:rsid w:val="00570CF7"/>
    <w:rsid w:val="00575DD2"/>
    <w:rsid w:val="0057682B"/>
    <w:rsid w:val="00581E74"/>
    <w:rsid w:val="005823F0"/>
    <w:rsid w:val="0058395D"/>
    <w:rsid w:val="00583F1F"/>
    <w:rsid w:val="00584D52"/>
    <w:rsid w:val="00586AA5"/>
    <w:rsid w:val="00587ABD"/>
    <w:rsid w:val="00590B13"/>
    <w:rsid w:val="00590B5F"/>
    <w:rsid w:val="00591117"/>
    <w:rsid w:val="00591458"/>
    <w:rsid w:val="0059365B"/>
    <w:rsid w:val="00594F87"/>
    <w:rsid w:val="0059601F"/>
    <w:rsid w:val="005970D6"/>
    <w:rsid w:val="005A2142"/>
    <w:rsid w:val="005A27FC"/>
    <w:rsid w:val="005A30E5"/>
    <w:rsid w:val="005B20A1"/>
    <w:rsid w:val="005B309D"/>
    <w:rsid w:val="005B60FA"/>
    <w:rsid w:val="005C4BB1"/>
    <w:rsid w:val="005D00AE"/>
    <w:rsid w:val="005D1C9B"/>
    <w:rsid w:val="005D6AD2"/>
    <w:rsid w:val="005D717B"/>
    <w:rsid w:val="005E00B3"/>
    <w:rsid w:val="005E2F8E"/>
    <w:rsid w:val="005E6371"/>
    <w:rsid w:val="005F5C1E"/>
    <w:rsid w:val="005F72EE"/>
    <w:rsid w:val="00602E2B"/>
    <w:rsid w:val="00603663"/>
    <w:rsid w:val="006038ED"/>
    <w:rsid w:val="00603DF7"/>
    <w:rsid w:val="006044C4"/>
    <w:rsid w:val="00607B52"/>
    <w:rsid w:val="006102A7"/>
    <w:rsid w:val="00613DC2"/>
    <w:rsid w:val="00613DED"/>
    <w:rsid w:val="00614DAD"/>
    <w:rsid w:val="00615BB4"/>
    <w:rsid w:val="006168DF"/>
    <w:rsid w:val="00623513"/>
    <w:rsid w:val="0062488C"/>
    <w:rsid w:val="00624ABA"/>
    <w:rsid w:val="00624CE5"/>
    <w:rsid w:val="0063137C"/>
    <w:rsid w:val="00631828"/>
    <w:rsid w:val="00632465"/>
    <w:rsid w:val="00633C83"/>
    <w:rsid w:val="00636923"/>
    <w:rsid w:val="0064246B"/>
    <w:rsid w:val="00645356"/>
    <w:rsid w:val="00647266"/>
    <w:rsid w:val="006519ED"/>
    <w:rsid w:val="00654351"/>
    <w:rsid w:val="00655D31"/>
    <w:rsid w:val="00656B9C"/>
    <w:rsid w:val="00656D2C"/>
    <w:rsid w:val="006572C0"/>
    <w:rsid w:val="00661BDC"/>
    <w:rsid w:val="00665F0F"/>
    <w:rsid w:val="00666A75"/>
    <w:rsid w:val="006717E5"/>
    <w:rsid w:val="00671946"/>
    <w:rsid w:val="0067434A"/>
    <w:rsid w:val="0067442E"/>
    <w:rsid w:val="00675C8F"/>
    <w:rsid w:val="00682316"/>
    <w:rsid w:val="00682391"/>
    <w:rsid w:val="00684896"/>
    <w:rsid w:val="00685AB9"/>
    <w:rsid w:val="00685BC9"/>
    <w:rsid w:val="00686471"/>
    <w:rsid w:val="00687642"/>
    <w:rsid w:val="00687AB3"/>
    <w:rsid w:val="00690FFC"/>
    <w:rsid w:val="006912CA"/>
    <w:rsid w:val="00693F1D"/>
    <w:rsid w:val="0069457F"/>
    <w:rsid w:val="00694B80"/>
    <w:rsid w:val="00695794"/>
    <w:rsid w:val="006957D7"/>
    <w:rsid w:val="00696BEC"/>
    <w:rsid w:val="006978C0"/>
    <w:rsid w:val="006A0608"/>
    <w:rsid w:val="006A24A5"/>
    <w:rsid w:val="006A2838"/>
    <w:rsid w:val="006A3D33"/>
    <w:rsid w:val="006A4EC9"/>
    <w:rsid w:val="006A4FBC"/>
    <w:rsid w:val="006A5717"/>
    <w:rsid w:val="006A67B7"/>
    <w:rsid w:val="006B09C8"/>
    <w:rsid w:val="006B5082"/>
    <w:rsid w:val="006B7A51"/>
    <w:rsid w:val="006C479B"/>
    <w:rsid w:val="006D0276"/>
    <w:rsid w:val="006D28C4"/>
    <w:rsid w:val="006D481F"/>
    <w:rsid w:val="006D68A9"/>
    <w:rsid w:val="006D6F9B"/>
    <w:rsid w:val="006D74C5"/>
    <w:rsid w:val="006E1975"/>
    <w:rsid w:val="006E2F1D"/>
    <w:rsid w:val="006E6EDC"/>
    <w:rsid w:val="006E7DD9"/>
    <w:rsid w:val="006F1082"/>
    <w:rsid w:val="006F1553"/>
    <w:rsid w:val="006F3338"/>
    <w:rsid w:val="006F40FA"/>
    <w:rsid w:val="006F563D"/>
    <w:rsid w:val="006F58EB"/>
    <w:rsid w:val="006F64B2"/>
    <w:rsid w:val="007009BA"/>
    <w:rsid w:val="00705D19"/>
    <w:rsid w:val="007060CD"/>
    <w:rsid w:val="007079AD"/>
    <w:rsid w:val="0071073F"/>
    <w:rsid w:val="00715DE8"/>
    <w:rsid w:val="00716F40"/>
    <w:rsid w:val="00722081"/>
    <w:rsid w:val="00722122"/>
    <w:rsid w:val="0072327B"/>
    <w:rsid w:val="007244B9"/>
    <w:rsid w:val="00725365"/>
    <w:rsid w:val="00730D22"/>
    <w:rsid w:val="00731448"/>
    <w:rsid w:val="007321B2"/>
    <w:rsid w:val="00732949"/>
    <w:rsid w:val="00732DB1"/>
    <w:rsid w:val="00732F8A"/>
    <w:rsid w:val="00733C93"/>
    <w:rsid w:val="0073558F"/>
    <w:rsid w:val="007374C3"/>
    <w:rsid w:val="00742526"/>
    <w:rsid w:val="00743AE0"/>
    <w:rsid w:val="00744346"/>
    <w:rsid w:val="007456E6"/>
    <w:rsid w:val="00747F01"/>
    <w:rsid w:val="00751EF9"/>
    <w:rsid w:val="00755F10"/>
    <w:rsid w:val="00761B40"/>
    <w:rsid w:val="007667DE"/>
    <w:rsid w:val="007717FB"/>
    <w:rsid w:val="0077448C"/>
    <w:rsid w:val="00776612"/>
    <w:rsid w:val="007777F9"/>
    <w:rsid w:val="00782959"/>
    <w:rsid w:val="00791477"/>
    <w:rsid w:val="00791DBF"/>
    <w:rsid w:val="00793258"/>
    <w:rsid w:val="00794802"/>
    <w:rsid w:val="00794CD1"/>
    <w:rsid w:val="007A2332"/>
    <w:rsid w:val="007A2A13"/>
    <w:rsid w:val="007A3466"/>
    <w:rsid w:val="007A5200"/>
    <w:rsid w:val="007A56AF"/>
    <w:rsid w:val="007A7ACB"/>
    <w:rsid w:val="007B488A"/>
    <w:rsid w:val="007B6709"/>
    <w:rsid w:val="007B7629"/>
    <w:rsid w:val="007B7E24"/>
    <w:rsid w:val="007C0AFB"/>
    <w:rsid w:val="007C0C29"/>
    <w:rsid w:val="007C3679"/>
    <w:rsid w:val="007C4E6C"/>
    <w:rsid w:val="007C539B"/>
    <w:rsid w:val="007C6142"/>
    <w:rsid w:val="007C6AF2"/>
    <w:rsid w:val="007D031D"/>
    <w:rsid w:val="007D0BC9"/>
    <w:rsid w:val="007D1AFE"/>
    <w:rsid w:val="007D5CE7"/>
    <w:rsid w:val="007D639C"/>
    <w:rsid w:val="007D65E3"/>
    <w:rsid w:val="007E031E"/>
    <w:rsid w:val="007E0BF9"/>
    <w:rsid w:val="007E1759"/>
    <w:rsid w:val="007E1B7A"/>
    <w:rsid w:val="007E3A81"/>
    <w:rsid w:val="007E5708"/>
    <w:rsid w:val="007E6C02"/>
    <w:rsid w:val="007E73F0"/>
    <w:rsid w:val="007E7B9E"/>
    <w:rsid w:val="007F24B9"/>
    <w:rsid w:val="007F47B3"/>
    <w:rsid w:val="007F4994"/>
    <w:rsid w:val="007F684C"/>
    <w:rsid w:val="007F7AE6"/>
    <w:rsid w:val="0080213D"/>
    <w:rsid w:val="00804677"/>
    <w:rsid w:val="00807476"/>
    <w:rsid w:val="00807782"/>
    <w:rsid w:val="00811FF6"/>
    <w:rsid w:val="00817026"/>
    <w:rsid w:val="00821E4B"/>
    <w:rsid w:val="00821FCD"/>
    <w:rsid w:val="00825BB8"/>
    <w:rsid w:val="00826F59"/>
    <w:rsid w:val="00827000"/>
    <w:rsid w:val="008270B9"/>
    <w:rsid w:val="008309FD"/>
    <w:rsid w:val="008323C3"/>
    <w:rsid w:val="00832AAF"/>
    <w:rsid w:val="00837F97"/>
    <w:rsid w:val="008409A9"/>
    <w:rsid w:val="008420FF"/>
    <w:rsid w:val="00843337"/>
    <w:rsid w:val="00844420"/>
    <w:rsid w:val="00845293"/>
    <w:rsid w:val="008457BE"/>
    <w:rsid w:val="00852C58"/>
    <w:rsid w:val="008543D2"/>
    <w:rsid w:val="008549E1"/>
    <w:rsid w:val="00854E8C"/>
    <w:rsid w:val="008553F6"/>
    <w:rsid w:val="00855EF2"/>
    <w:rsid w:val="00864574"/>
    <w:rsid w:val="00864E06"/>
    <w:rsid w:val="00866651"/>
    <w:rsid w:val="00866E99"/>
    <w:rsid w:val="008679D6"/>
    <w:rsid w:val="00870322"/>
    <w:rsid w:val="008773B6"/>
    <w:rsid w:val="00885BE1"/>
    <w:rsid w:val="00886F6A"/>
    <w:rsid w:val="0088721B"/>
    <w:rsid w:val="0088760B"/>
    <w:rsid w:val="00890E17"/>
    <w:rsid w:val="008937DC"/>
    <w:rsid w:val="00895C8B"/>
    <w:rsid w:val="008A0327"/>
    <w:rsid w:val="008A0B2F"/>
    <w:rsid w:val="008A15FD"/>
    <w:rsid w:val="008A1993"/>
    <w:rsid w:val="008A3466"/>
    <w:rsid w:val="008B5EE3"/>
    <w:rsid w:val="008B7071"/>
    <w:rsid w:val="008C2A50"/>
    <w:rsid w:val="008C2BEE"/>
    <w:rsid w:val="008C4F86"/>
    <w:rsid w:val="008C6149"/>
    <w:rsid w:val="008C7887"/>
    <w:rsid w:val="008D1212"/>
    <w:rsid w:val="008D1ACD"/>
    <w:rsid w:val="008D6C20"/>
    <w:rsid w:val="008D7DDD"/>
    <w:rsid w:val="008E0CC9"/>
    <w:rsid w:val="008E1500"/>
    <w:rsid w:val="008E3282"/>
    <w:rsid w:val="008E348B"/>
    <w:rsid w:val="008E7449"/>
    <w:rsid w:val="008E7C3E"/>
    <w:rsid w:val="008F1FBA"/>
    <w:rsid w:val="008F4E34"/>
    <w:rsid w:val="008F7057"/>
    <w:rsid w:val="008F7ECE"/>
    <w:rsid w:val="00900433"/>
    <w:rsid w:val="009007A0"/>
    <w:rsid w:val="00901BB7"/>
    <w:rsid w:val="0090226A"/>
    <w:rsid w:val="00904165"/>
    <w:rsid w:val="009041FD"/>
    <w:rsid w:val="00905EB1"/>
    <w:rsid w:val="009061A5"/>
    <w:rsid w:val="00906D3F"/>
    <w:rsid w:val="00910E23"/>
    <w:rsid w:val="00911239"/>
    <w:rsid w:val="00911F1F"/>
    <w:rsid w:val="009133FF"/>
    <w:rsid w:val="009155EE"/>
    <w:rsid w:val="00924E8A"/>
    <w:rsid w:val="00925307"/>
    <w:rsid w:val="00925EA1"/>
    <w:rsid w:val="00931BD5"/>
    <w:rsid w:val="00932C63"/>
    <w:rsid w:val="00935C8F"/>
    <w:rsid w:val="00937422"/>
    <w:rsid w:val="00943BA8"/>
    <w:rsid w:val="009468BA"/>
    <w:rsid w:val="00947BA1"/>
    <w:rsid w:val="00947D19"/>
    <w:rsid w:val="00952CCC"/>
    <w:rsid w:val="009539AF"/>
    <w:rsid w:val="00962094"/>
    <w:rsid w:val="00964B15"/>
    <w:rsid w:val="00966B64"/>
    <w:rsid w:val="00966D88"/>
    <w:rsid w:val="00967C62"/>
    <w:rsid w:val="009705DC"/>
    <w:rsid w:val="00970948"/>
    <w:rsid w:val="00970EE4"/>
    <w:rsid w:val="00975581"/>
    <w:rsid w:val="0099077E"/>
    <w:rsid w:val="009915A3"/>
    <w:rsid w:val="0099215D"/>
    <w:rsid w:val="00994386"/>
    <w:rsid w:val="009962AE"/>
    <w:rsid w:val="009965D8"/>
    <w:rsid w:val="009977D5"/>
    <w:rsid w:val="009A14F9"/>
    <w:rsid w:val="009A2887"/>
    <w:rsid w:val="009A2C07"/>
    <w:rsid w:val="009A3702"/>
    <w:rsid w:val="009A39BF"/>
    <w:rsid w:val="009A3BF3"/>
    <w:rsid w:val="009A52B4"/>
    <w:rsid w:val="009A7B2B"/>
    <w:rsid w:val="009B20B5"/>
    <w:rsid w:val="009B26FE"/>
    <w:rsid w:val="009B354D"/>
    <w:rsid w:val="009B55A4"/>
    <w:rsid w:val="009B732E"/>
    <w:rsid w:val="009C0BAB"/>
    <w:rsid w:val="009C302A"/>
    <w:rsid w:val="009C33E6"/>
    <w:rsid w:val="009C39E2"/>
    <w:rsid w:val="009C581F"/>
    <w:rsid w:val="009C5ED5"/>
    <w:rsid w:val="009C77F7"/>
    <w:rsid w:val="009D2A3D"/>
    <w:rsid w:val="009D3771"/>
    <w:rsid w:val="009D3CEC"/>
    <w:rsid w:val="009D49AB"/>
    <w:rsid w:val="009D5A18"/>
    <w:rsid w:val="009D5FE3"/>
    <w:rsid w:val="009E08B9"/>
    <w:rsid w:val="009E2690"/>
    <w:rsid w:val="009E290C"/>
    <w:rsid w:val="009E49B2"/>
    <w:rsid w:val="009E580E"/>
    <w:rsid w:val="009E7375"/>
    <w:rsid w:val="009E75CE"/>
    <w:rsid w:val="009E7708"/>
    <w:rsid w:val="009F2870"/>
    <w:rsid w:val="009F372B"/>
    <w:rsid w:val="009F722A"/>
    <w:rsid w:val="00A03800"/>
    <w:rsid w:val="00A04744"/>
    <w:rsid w:val="00A057D5"/>
    <w:rsid w:val="00A059A0"/>
    <w:rsid w:val="00A05BBC"/>
    <w:rsid w:val="00A07987"/>
    <w:rsid w:val="00A07DE6"/>
    <w:rsid w:val="00A10B0F"/>
    <w:rsid w:val="00A12E5E"/>
    <w:rsid w:val="00A130C9"/>
    <w:rsid w:val="00A13A6B"/>
    <w:rsid w:val="00A171D2"/>
    <w:rsid w:val="00A17597"/>
    <w:rsid w:val="00A17ACD"/>
    <w:rsid w:val="00A201D0"/>
    <w:rsid w:val="00A21B80"/>
    <w:rsid w:val="00A221A8"/>
    <w:rsid w:val="00A277AA"/>
    <w:rsid w:val="00A301D8"/>
    <w:rsid w:val="00A329D1"/>
    <w:rsid w:val="00A33841"/>
    <w:rsid w:val="00A361A0"/>
    <w:rsid w:val="00A416E3"/>
    <w:rsid w:val="00A421EE"/>
    <w:rsid w:val="00A43445"/>
    <w:rsid w:val="00A435CD"/>
    <w:rsid w:val="00A437C1"/>
    <w:rsid w:val="00A45CF6"/>
    <w:rsid w:val="00A464F6"/>
    <w:rsid w:val="00A47F6D"/>
    <w:rsid w:val="00A51EAB"/>
    <w:rsid w:val="00A54127"/>
    <w:rsid w:val="00A57C02"/>
    <w:rsid w:val="00A60B9E"/>
    <w:rsid w:val="00A60C1A"/>
    <w:rsid w:val="00A620C8"/>
    <w:rsid w:val="00A62D64"/>
    <w:rsid w:val="00A664AB"/>
    <w:rsid w:val="00A70749"/>
    <w:rsid w:val="00A73A1B"/>
    <w:rsid w:val="00A73BC7"/>
    <w:rsid w:val="00A75A54"/>
    <w:rsid w:val="00A7613E"/>
    <w:rsid w:val="00A77902"/>
    <w:rsid w:val="00A8003C"/>
    <w:rsid w:val="00A8151F"/>
    <w:rsid w:val="00A906FB"/>
    <w:rsid w:val="00A93E64"/>
    <w:rsid w:val="00A96908"/>
    <w:rsid w:val="00AA05DA"/>
    <w:rsid w:val="00AA15A4"/>
    <w:rsid w:val="00AA52D6"/>
    <w:rsid w:val="00AB00BD"/>
    <w:rsid w:val="00AB4F89"/>
    <w:rsid w:val="00AB5BBC"/>
    <w:rsid w:val="00AB61E9"/>
    <w:rsid w:val="00AC223A"/>
    <w:rsid w:val="00AC3D2A"/>
    <w:rsid w:val="00AC51C6"/>
    <w:rsid w:val="00AC5EDC"/>
    <w:rsid w:val="00AC6C4A"/>
    <w:rsid w:val="00AC73B4"/>
    <w:rsid w:val="00AD4CED"/>
    <w:rsid w:val="00AD562A"/>
    <w:rsid w:val="00AD6C69"/>
    <w:rsid w:val="00AD7C9E"/>
    <w:rsid w:val="00AE4343"/>
    <w:rsid w:val="00AE64BE"/>
    <w:rsid w:val="00AF0F1A"/>
    <w:rsid w:val="00AF1B5F"/>
    <w:rsid w:val="00AF2295"/>
    <w:rsid w:val="00AF3C05"/>
    <w:rsid w:val="00AF3FA8"/>
    <w:rsid w:val="00AF437D"/>
    <w:rsid w:val="00AF48D3"/>
    <w:rsid w:val="00AF50F1"/>
    <w:rsid w:val="00B0017F"/>
    <w:rsid w:val="00B02BFB"/>
    <w:rsid w:val="00B100B8"/>
    <w:rsid w:val="00B1466F"/>
    <w:rsid w:val="00B16338"/>
    <w:rsid w:val="00B16B9B"/>
    <w:rsid w:val="00B1725D"/>
    <w:rsid w:val="00B20C81"/>
    <w:rsid w:val="00B21B10"/>
    <w:rsid w:val="00B225B7"/>
    <w:rsid w:val="00B25F6F"/>
    <w:rsid w:val="00B26B24"/>
    <w:rsid w:val="00B348BC"/>
    <w:rsid w:val="00B34991"/>
    <w:rsid w:val="00B34F09"/>
    <w:rsid w:val="00B404EE"/>
    <w:rsid w:val="00B412B1"/>
    <w:rsid w:val="00B41B52"/>
    <w:rsid w:val="00B4339F"/>
    <w:rsid w:val="00B43BBA"/>
    <w:rsid w:val="00B47066"/>
    <w:rsid w:val="00B52198"/>
    <w:rsid w:val="00B53D09"/>
    <w:rsid w:val="00B54C9D"/>
    <w:rsid w:val="00B562EE"/>
    <w:rsid w:val="00B57AA3"/>
    <w:rsid w:val="00B62B83"/>
    <w:rsid w:val="00B6425C"/>
    <w:rsid w:val="00B65129"/>
    <w:rsid w:val="00B653CC"/>
    <w:rsid w:val="00B654AD"/>
    <w:rsid w:val="00B67A38"/>
    <w:rsid w:val="00B70933"/>
    <w:rsid w:val="00B70D04"/>
    <w:rsid w:val="00B72347"/>
    <w:rsid w:val="00B74F47"/>
    <w:rsid w:val="00B82CB9"/>
    <w:rsid w:val="00B82CE0"/>
    <w:rsid w:val="00B84651"/>
    <w:rsid w:val="00B861BC"/>
    <w:rsid w:val="00B869F7"/>
    <w:rsid w:val="00B87F7F"/>
    <w:rsid w:val="00B91D8C"/>
    <w:rsid w:val="00B93622"/>
    <w:rsid w:val="00B950E2"/>
    <w:rsid w:val="00B95271"/>
    <w:rsid w:val="00B96EEC"/>
    <w:rsid w:val="00BA1E61"/>
    <w:rsid w:val="00BB11DA"/>
    <w:rsid w:val="00BB2B35"/>
    <w:rsid w:val="00BB4BD1"/>
    <w:rsid w:val="00BB78AF"/>
    <w:rsid w:val="00BC06E5"/>
    <w:rsid w:val="00BC0A8F"/>
    <w:rsid w:val="00BC2455"/>
    <w:rsid w:val="00BC3F1C"/>
    <w:rsid w:val="00BC523C"/>
    <w:rsid w:val="00BD1265"/>
    <w:rsid w:val="00BD5257"/>
    <w:rsid w:val="00BD6080"/>
    <w:rsid w:val="00BD6CD6"/>
    <w:rsid w:val="00BD72D8"/>
    <w:rsid w:val="00BE1FB9"/>
    <w:rsid w:val="00BE415E"/>
    <w:rsid w:val="00BE4E5E"/>
    <w:rsid w:val="00BE56F0"/>
    <w:rsid w:val="00BE5AA5"/>
    <w:rsid w:val="00BE5C11"/>
    <w:rsid w:val="00BF13EC"/>
    <w:rsid w:val="00BF3AB9"/>
    <w:rsid w:val="00C01607"/>
    <w:rsid w:val="00C03ABB"/>
    <w:rsid w:val="00C046DB"/>
    <w:rsid w:val="00C04752"/>
    <w:rsid w:val="00C0540A"/>
    <w:rsid w:val="00C1071F"/>
    <w:rsid w:val="00C11C0C"/>
    <w:rsid w:val="00C1369D"/>
    <w:rsid w:val="00C1478C"/>
    <w:rsid w:val="00C14F57"/>
    <w:rsid w:val="00C153B3"/>
    <w:rsid w:val="00C15D4D"/>
    <w:rsid w:val="00C16CE1"/>
    <w:rsid w:val="00C17430"/>
    <w:rsid w:val="00C22063"/>
    <w:rsid w:val="00C238F9"/>
    <w:rsid w:val="00C24B02"/>
    <w:rsid w:val="00C26914"/>
    <w:rsid w:val="00C32A6F"/>
    <w:rsid w:val="00C32C6E"/>
    <w:rsid w:val="00C35FFE"/>
    <w:rsid w:val="00C362B3"/>
    <w:rsid w:val="00C36E4A"/>
    <w:rsid w:val="00C401FD"/>
    <w:rsid w:val="00C41DE5"/>
    <w:rsid w:val="00C47F78"/>
    <w:rsid w:val="00C50F65"/>
    <w:rsid w:val="00C53F74"/>
    <w:rsid w:val="00C54269"/>
    <w:rsid w:val="00C55DB2"/>
    <w:rsid w:val="00C56895"/>
    <w:rsid w:val="00C65CD3"/>
    <w:rsid w:val="00C6719C"/>
    <w:rsid w:val="00C70480"/>
    <w:rsid w:val="00C70517"/>
    <w:rsid w:val="00C718E9"/>
    <w:rsid w:val="00C73148"/>
    <w:rsid w:val="00C7426C"/>
    <w:rsid w:val="00C74858"/>
    <w:rsid w:val="00C772FD"/>
    <w:rsid w:val="00C77DB2"/>
    <w:rsid w:val="00C863EC"/>
    <w:rsid w:val="00C86A09"/>
    <w:rsid w:val="00C9170F"/>
    <w:rsid w:val="00C941DF"/>
    <w:rsid w:val="00C970B7"/>
    <w:rsid w:val="00CA34D1"/>
    <w:rsid w:val="00CA6566"/>
    <w:rsid w:val="00CA7991"/>
    <w:rsid w:val="00CB16AA"/>
    <w:rsid w:val="00CB5890"/>
    <w:rsid w:val="00CB7A56"/>
    <w:rsid w:val="00CC47CE"/>
    <w:rsid w:val="00CC6109"/>
    <w:rsid w:val="00CC701F"/>
    <w:rsid w:val="00CC711C"/>
    <w:rsid w:val="00CC7A34"/>
    <w:rsid w:val="00CD2ED7"/>
    <w:rsid w:val="00CD511D"/>
    <w:rsid w:val="00CD7B76"/>
    <w:rsid w:val="00CE05BC"/>
    <w:rsid w:val="00CE1CC1"/>
    <w:rsid w:val="00CE5672"/>
    <w:rsid w:val="00CF062E"/>
    <w:rsid w:val="00CF1C7F"/>
    <w:rsid w:val="00CF6F79"/>
    <w:rsid w:val="00CF70A4"/>
    <w:rsid w:val="00CF7564"/>
    <w:rsid w:val="00D0050A"/>
    <w:rsid w:val="00D033B6"/>
    <w:rsid w:val="00D03DA1"/>
    <w:rsid w:val="00D040CB"/>
    <w:rsid w:val="00D0492F"/>
    <w:rsid w:val="00D0505B"/>
    <w:rsid w:val="00D060A0"/>
    <w:rsid w:val="00D076DE"/>
    <w:rsid w:val="00D13E14"/>
    <w:rsid w:val="00D178E5"/>
    <w:rsid w:val="00D20C66"/>
    <w:rsid w:val="00D20D04"/>
    <w:rsid w:val="00D23E41"/>
    <w:rsid w:val="00D25A5E"/>
    <w:rsid w:val="00D25A80"/>
    <w:rsid w:val="00D333FD"/>
    <w:rsid w:val="00D3340F"/>
    <w:rsid w:val="00D33516"/>
    <w:rsid w:val="00D33F94"/>
    <w:rsid w:val="00D35E10"/>
    <w:rsid w:val="00D37FA7"/>
    <w:rsid w:val="00D40812"/>
    <w:rsid w:val="00D40D0E"/>
    <w:rsid w:val="00D4177D"/>
    <w:rsid w:val="00D41B2C"/>
    <w:rsid w:val="00D41B45"/>
    <w:rsid w:val="00D434FB"/>
    <w:rsid w:val="00D44660"/>
    <w:rsid w:val="00D46A79"/>
    <w:rsid w:val="00D50E66"/>
    <w:rsid w:val="00D5265E"/>
    <w:rsid w:val="00D528EB"/>
    <w:rsid w:val="00D541F5"/>
    <w:rsid w:val="00D56A1F"/>
    <w:rsid w:val="00D57D05"/>
    <w:rsid w:val="00D6193C"/>
    <w:rsid w:val="00D63445"/>
    <w:rsid w:val="00D63942"/>
    <w:rsid w:val="00D6631D"/>
    <w:rsid w:val="00D668E3"/>
    <w:rsid w:val="00D71AB1"/>
    <w:rsid w:val="00D729B9"/>
    <w:rsid w:val="00D740FF"/>
    <w:rsid w:val="00D74BF6"/>
    <w:rsid w:val="00D7514A"/>
    <w:rsid w:val="00D76C12"/>
    <w:rsid w:val="00D81F90"/>
    <w:rsid w:val="00D87C6A"/>
    <w:rsid w:val="00D939A0"/>
    <w:rsid w:val="00D93CBB"/>
    <w:rsid w:val="00D947B7"/>
    <w:rsid w:val="00D94E7B"/>
    <w:rsid w:val="00D9533B"/>
    <w:rsid w:val="00DA0831"/>
    <w:rsid w:val="00DA2E7E"/>
    <w:rsid w:val="00DA4266"/>
    <w:rsid w:val="00DA65A8"/>
    <w:rsid w:val="00DB5541"/>
    <w:rsid w:val="00DB6704"/>
    <w:rsid w:val="00DC0582"/>
    <w:rsid w:val="00DC134A"/>
    <w:rsid w:val="00DC1632"/>
    <w:rsid w:val="00DC6E41"/>
    <w:rsid w:val="00DD2DFD"/>
    <w:rsid w:val="00DD3CA3"/>
    <w:rsid w:val="00DD4F81"/>
    <w:rsid w:val="00DD6306"/>
    <w:rsid w:val="00DD7A30"/>
    <w:rsid w:val="00DE1F5F"/>
    <w:rsid w:val="00DE354E"/>
    <w:rsid w:val="00DE6368"/>
    <w:rsid w:val="00DE67D8"/>
    <w:rsid w:val="00DE7450"/>
    <w:rsid w:val="00DF1040"/>
    <w:rsid w:val="00DF36AD"/>
    <w:rsid w:val="00DF4EB1"/>
    <w:rsid w:val="00DF5591"/>
    <w:rsid w:val="00DF72B2"/>
    <w:rsid w:val="00E00734"/>
    <w:rsid w:val="00E00777"/>
    <w:rsid w:val="00E02F9B"/>
    <w:rsid w:val="00E03425"/>
    <w:rsid w:val="00E051C5"/>
    <w:rsid w:val="00E051FC"/>
    <w:rsid w:val="00E056ED"/>
    <w:rsid w:val="00E0768B"/>
    <w:rsid w:val="00E100BC"/>
    <w:rsid w:val="00E119D8"/>
    <w:rsid w:val="00E14247"/>
    <w:rsid w:val="00E22DEA"/>
    <w:rsid w:val="00E2311A"/>
    <w:rsid w:val="00E2316D"/>
    <w:rsid w:val="00E25160"/>
    <w:rsid w:val="00E261A5"/>
    <w:rsid w:val="00E271A5"/>
    <w:rsid w:val="00E27DF2"/>
    <w:rsid w:val="00E31CC4"/>
    <w:rsid w:val="00E33927"/>
    <w:rsid w:val="00E37240"/>
    <w:rsid w:val="00E403F2"/>
    <w:rsid w:val="00E406D5"/>
    <w:rsid w:val="00E4255B"/>
    <w:rsid w:val="00E441EF"/>
    <w:rsid w:val="00E44690"/>
    <w:rsid w:val="00E4476C"/>
    <w:rsid w:val="00E4499F"/>
    <w:rsid w:val="00E52144"/>
    <w:rsid w:val="00E54227"/>
    <w:rsid w:val="00E551D7"/>
    <w:rsid w:val="00E57921"/>
    <w:rsid w:val="00E643D4"/>
    <w:rsid w:val="00E659AB"/>
    <w:rsid w:val="00E66AE7"/>
    <w:rsid w:val="00E72149"/>
    <w:rsid w:val="00E7397C"/>
    <w:rsid w:val="00E748D4"/>
    <w:rsid w:val="00E760BF"/>
    <w:rsid w:val="00E7718C"/>
    <w:rsid w:val="00E84E87"/>
    <w:rsid w:val="00E87799"/>
    <w:rsid w:val="00E97346"/>
    <w:rsid w:val="00EA05CE"/>
    <w:rsid w:val="00EA0B30"/>
    <w:rsid w:val="00EA18AB"/>
    <w:rsid w:val="00EA5D78"/>
    <w:rsid w:val="00EA7481"/>
    <w:rsid w:val="00EB0315"/>
    <w:rsid w:val="00EB10E9"/>
    <w:rsid w:val="00EB15CF"/>
    <w:rsid w:val="00EB252F"/>
    <w:rsid w:val="00EB383E"/>
    <w:rsid w:val="00EB5A58"/>
    <w:rsid w:val="00EB5CBE"/>
    <w:rsid w:val="00EC0B8E"/>
    <w:rsid w:val="00EC0DFA"/>
    <w:rsid w:val="00EC2E6C"/>
    <w:rsid w:val="00EC3603"/>
    <w:rsid w:val="00EC52B0"/>
    <w:rsid w:val="00EC61E5"/>
    <w:rsid w:val="00EC69E9"/>
    <w:rsid w:val="00ED1D65"/>
    <w:rsid w:val="00ED1E84"/>
    <w:rsid w:val="00ED24D4"/>
    <w:rsid w:val="00ED3A04"/>
    <w:rsid w:val="00ED4AAF"/>
    <w:rsid w:val="00ED6F0B"/>
    <w:rsid w:val="00ED7998"/>
    <w:rsid w:val="00EE0F15"/>
    <w:rsid w:val="00EE1FFF"/>
    <w:rsid w:val="00EE51A1"/>
    <w:rsid w:val="00EF0B1C"/>
    <w:rsid w:val="00EF26AE"/>
    <w:rsid w:val="00EF617B"/>
    <w:rsid w:val="00F00043"/>
    <w:rsid w:val="00F01F91"/>
    <w:rsid w:val="00F022A5"/>
    <w:rsid w:val="00F04543"/>
    <w:rsid w:val="00F048A0"/>
    <w:rsid w:val="00F0539E"/>
    <w:rsid w:val="00F057D1"/>
    <w:rsid w:val="00F1091E"/>
    <w:rsid w:val="00F113F8"/>
    <w:rsid w:val="00F11575"/>
    <w:rsid w:val="00F1232C"/>
    <w:rsid w:val="00F1327E"/>
    <w:rsid w:val="00F164C4"/>
    <w:rsid w:val="00F202A7"/>
    <w:rsid w:val="00F203BB"/>
    <w:rsid w:val="00F2077B"/>
    <w:rsid w:val="00F20F95"/>
    <w:rsid w:val="00F22131"/>
    <w:rsid w:val="00F2786A"/>
    <w:rsid w:val="00F30558"/>
    <w:rsid w:val="00F30D7B"/>
    <w:rsid w:val="00F31A87"/>
    <w:rsid w:val="00F34EE9"/>
    <w:rsid w:val="00F35305"/>
    <w:rsid w:val="00F3530F"/>
    <w:rsid w:val="00F3565F"/>
    <w:rsid w:val="00F36CE4"/>
    <w:rsid w:val="00F36D8D"/>
    <w:rsid w:val="00F375F2"/>
    <w:rsid w:val="00F45ECB"/>
    <w:rsid w:val="00F46771"/>
    <w:rsid w:val="00F50117"/>
    <w:rsid w:val="00F5072B"/>
    <w:rsid w:val="00F52F41"/>
    <w:rsid w:val="00F5664C"/>
    <w:rsid w:val="00F5785C"/>
    <w:rsid w:val="00F57D23"/>
    <w:rsid w:val="00F619C2"/>
    <w:rsid w:val="00F6535D"/>
    <w:rsid w:val="00F71EA9"/>
    <w:rsid w:val="00F72E41"/>
    <w:rsid w:val="00F80E59"/>
    <w:rsid w:val="00F80EC5"/>
    <w:rsid w:val="00F81484"/>
    <w:rsid w:val="00F861F5"/>
    <w:rsid w:val="00F86A2C"/>
    <w:rsid w:val="00F908D8"/>
    <w:rsid w:val="00F95E9B"/>
    <w:rsid w:val="00F96DE6"/>
    <w:rsid w:val="00F97269"/>
    <w:rsid w:val="00FA0278"/>
    <w:rsid w:val="00FA0638"/>
    <w:rsid w:val="00FA0B77"/>
    <w:rsid w:val="00FA33AE"/>
    <w:rsid w:val="00FA36DF"/>
    <w:rsid w:val="00FA3A9D"/>
    <w:rsid w:val="00FA4E4D"/>
    <w:rsid w:val="00FA4ECB"/>
    <w:rsid w:val="00FA632E"/>
    <w:rsid w:val="00FB1A76"/>
    <w:rsid w:val="00FB2E02"/>
    <w:rsid w:val="00FB39FE"/>
    <w:rsid w:val="00FB4EE4"/>
    <w:rsid w:val="00FB53C8"/>
    <w:rsid w:val="00FB56CF"/>
    <w:rsid w:val="00FB5CCD"/>
    <w:rsid w:val="00FC2370"/>
    <w:rsid w:val="00FC6ECF"/>
    <w:rsid w:val="00FC6EEF"/>
    <w:rsid w:val="00FC6F9D"/>
    <w:rsid w:val="00FC7EFD"/>
    <w:rsid w:val="00FD0AAC"/>
    <w:rsid w:val="00FD4DC1"/>
    <w:rsid w:val="00FD6A86"/>
    <w:rsid w:val="00FD7006"/>
    <w:rsid w:val="00FE1563"/>
    <w:rsid w:val="00FE2E03"/>
    <w:rsid w:val="00FE50C8"/>
    <w:rsid w:val="00FE7649"/>
    <w:rsid w:val="00FF2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CD75"/>
  <w15:chartTrackingRefBased/>
  <w15:docId w15:val="{F9FA19B7-5CBD-4C11-95F8-AD823313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6CE4"/>
  </w:style>
  <w:style w:type="paragraph" w:styleId="berschrift1">
    <w:name w:val="heading 1"/>
    <w:basedOn w:val="Standard"/>
    <w:next w:val="Standard"/>
    <w:link w:val="berschrift1Zchn"/>
    <w:uiPriority w:val="9"/>
    <w:qFormat/>
    <w:rsid w:val="00202653"/>
    <w:pPr>
      <w:keepNext/>
      <w:keepLines/>
      <w:spacing w:before="24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7456E6"/>
    <w:pPr>
      <w:keepNext/>
      <w:keepLines/>
      <w:spacing w:before="4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8309FD"/>
    <w:pPr>
      <w:outlineLvl w:val="2"/>
    </w:pPr>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34814"/>
    <w:pPr>
      <w:spacing w:after="0" w:line="240" w:lineRule="auto"/>
      <w:contextualSpacing/>
      <w:jc w:val="center"/>
    </w:pPr>
    <w:rPr>
      <w:rFonts w:asciiTheme="majorHAnsi" w:eastAsiaTheme="majorEastAsia" w:hAnsiTheme="majorHAnsi" w:cstheme="majorBidi"/>
      <w:b/>
      <w:bCs/>
      <w:spacing w:val="-10"/>
      <w:kern w:val="28"/>
      <w:sz w:val="36"/>
      <w:szCs w:val="36"/>
      <w:u w:val="single"/>
    </w:rPr>
  </w:style>
  <w:style w:type="character" w:customStyle="1" w:styleId="TitelZchn">
    <w:name w:val="Titel Zchn"/>
    <w:basedOn w:val="Absatz-Standardschriftart"/>
    <w:link w:val="Titel"/>
    <w:uiPriority w:val="10"/>
    <w:rsid w:val="00534814"/>
    <w:rPr>
      <w:rFonts w:asciiTheme="majorHAnsi" w:eastAsiaTheme="majorEastAsia" w:hAnsiTheme="majorHAnsi" w:cstheme="majorBidi"/>
      <w:b/>
      <w:bCs/>
      <w:spacing w:val="-10"/>
      <w:kern w:val="28"/>
      <w:sz w:val="36"/>
      <w:szCs w:val="36"/>
      <w:u w:val="single"/>
    </w:rPr>
  </w:style>
  <w:style w:type="character" w:customStyle="1" w:styleId="berschrift1Zchn">
    <w:name w:val="Überschrift 1 Zchn"/>
    <w:basedOn w:val="Absatz-Standardschriftart"/>
    <w:link w:val="berschrift1"/>
    <w:uiPriority w:val="9"/>
    <w:rsid w:val="00202653"/>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7456E6"/>
    <w:rPr>
      <w:rFonts w:asciiTheme="majorHAnsi" w:eastAsiaTheme="majorEastAsia" w:hAnsiTheme="majorHAnsi" w:cstheme="majorBidi"/>
      <w:b/>
      <w:bCs/>
      <w:sz w:val="26"/>
      <w:szCs w:val="26"/>
    </w:rPr>
  </w:style>
  <w:style w:type="paragraph" w:styleId="Inhaltsverzeichnisberschrift">
    <w:name w:val="TOC Heading"/>
    <w:basedOn w:val="berschrift1"/>
    <w:next w:val="Standard"/>
    <w:uiPriority w:val="39"/>
    <w:unhideWhenUsed/>
    <w:qFormat/>
    <w:rsid w:val="00817026"/>
    <w:pPr>
      <w:outlineLvl w:val="9"/>
    </w:pPr>
    <w:rPr>
      <w:b w:val="0"/>
      <w:bCs w:val="0"/>
      <w:color w:val="2F5496" w:themeColor="accent1" w:themeShade="BF"/>
      <w:kern w:val="0"/>
      <w:sz w:val="32"/>
      <w:szCs w:val="32"/>
      <w:lang w:eastAsia="de-DE"/>
      <w14:ligatures w14:val="none"/>
    </w:rPr>
  </w:style>
  <w:style w:type="paragraph" w:styleId="Verzeichnis1">
    <w:name w:val="toc 1"/>
    <w:basedOn w:val="Standard"/>
    <w:next w:val="Standard"/>
    <w:autoRedefine/>
    <w:uiPriority w:val="39"/>
    <w:unhideWhenUsed/>
    <w:rsid w:val="00817026"/>
    <w:pPr>
      <w:spacing w:after="100"/>
    </w:pPr>
  </w:style>
  <w:style w:type="paragraph" w:styleId="Verzeichnis2">
    <w:name w:val="toc 2"/>
    <w:basedOn w:val="Standard"/>
    <w:next w:val="Standard"/>
    <w:autoRedefine/>
    <w:uiPriority w:val="39"/>
    <w:unhideWhenUsed/>
    <w:rsid w:val="00817026"/>
    <w:pPr>
      <w:spacing w:after="100"/>
      <w:ind w:left="220"/>
    </w:pPr>
  </w:style>
  <w:style w:type="character" w:styleId="Hyperlink">
    <w:name w:val="Hyperlink"/>
    <w:basedOn w:val="Absatz-Standardschriftart"/>
    <w:uiPriority w:val="99"/>
    <w:unhideWhenUsed/>
    <w:rsid w:val="00817026"/>
    <w:rPr>
      <w:color w:val="0563C1" w:themeColor="hyperlink"/>
      <w:u w:val="single"/>
    </w:rPr>
  </w:style>
  <w:style w:type="paragraph" w:styleId="KeinLeerraum">
    <w:name w:val="No Spacing"/>
    <w:link w:val="KeinLeerraumZchn"/>
    <w:uiPriority w:val="1"/>
    <w:qFormat/>
    <w:rsid w:val="00EF0B1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EF0B1C"/>
    <w:rPr>
      <w:rFonts w:eastAsiaTheme="minorEastAsia"/>
      <w:kern w:val="0"/>
      <w:lang w:eastAsia="de-DE"/>
      <w14:ligatures w14:val="none"/>
    </w:rPr>
  </w:style>
  <w:style w:type="paragraph" w:styleId="Beschriftung">
    <w:name w:val="caption"/>
    <w:basedOn w:val="Standard"/>
    <w:next w:val="Standard"/>
    <w:uiPriority w:val="35"/>
    <w:unhideWhenUsed/>
    <w:qFormat/>
    <w:rsid w:val="00791DBF"/>
    <w:pPr>
      <w:spacing w:after="200" w:line="240" w:lineRule="auto"/>
    </w:pPr>
    <w:rPr>
      <w:i/>
      <w:iCs/>
      <w:color w:val="44546A" w:themeColor="text2"/>
      <w:sz w:val="18"/>
      <w:szCs w:val="18"/>
    </w:rPr>
  </w:style>
  <w:style w:type="character" w:styleId="Fett">
    <w:name w:val="Strong"/>
    <w:basedOn w:val="Absatz-Standardschriftart"/>
    <w:uiPriority w:val="22"/>
    <w:qFormat/>
    <w:rsid w:val="00586AA5"/>
    <w:rPr>
      <w:b/>
      <w:bCs/>
    </w:rPr>
  </w:style>
  <w:style w:type="character" w:customStyle="1" w:styleId="berschrift3Zchn">
    <w:name w:val="Überschrift 3 Zchn"/>
    <w:basedOn w:val="Absatz-Standardschriftart"/>
    <w:link w:val="berschrift3"/>
    <w:uiPriority w:val="9"/>
    <w:rsid w:val="008309FD"/>
    <w:rPr>
      <w:noProof/>
    </w:rPr>
  </w:style>
  <w:style w:type="paragraph" w:styleId="Verzeichnis3">
    <w:name w:val="toc 3"/>
    <w:basedOn w:val="Standard"/>
    <w:next w:val="Standard"/>
    <w:autoRedefine/>
    <w:uiPriority w:val="39"/>
    <w:unhideWhenUsed/>
    <w:rsid w:val="0045445D"/>
    <w:pPr>
      <w:spacing w:after="100"/>
      <w:ind w:left="440"/>
    </w:pPr>
  </w:style>
  <w:style w:type="paragraph" w:styleId="Listenabsatz">
    <w:name w:val="List Paragraph"/>
    <w:basedOn w:val="Standard"/>
    <w:uiPriority w:val="34"/>
    <w:qFormat/>
    <w:rsid w:val="00EB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566">
      <w:bodyDiv w:val="1"/>
      <w:marLeft w:val="0"/>
      <w:marRight w:val="0"/>
      <w:marTop w:val="0"/>
      <w:marBottom w:val="0"/>
      <w:divBdr>
        <w:top w:val="none" w:sz="0" w:space="0" w:color="auto"/>
        <w:left w:val="none" w:sz="0" w:space="0" w:color="auto"/>
        <w:bottom w:val="none" w:sz="0" w:space="0" w:color="auto"/>
        <w:right w:val="none" w:sz="0" w:space="0" w:color="auto"/>
      </w:divBdr>
    </w:div>
    <w:div w:id="398551512">
      <w:bodyDiv w:val="1"/>
      <w:marLeft w:val="0"/>
      <w:marRight w:val="0"/>
      <w:marTop w:val="0"/>
      <w:marBottom w:val="0"/>
      <w:divBdr>
        <w:top w:val="none" w:sz="0" w:space="0" w:color="auto"/>
        <w:left w:val="none" w:sz="0" w:space="0" w:color="auto"/>
        <w:bottom w:val="none" w:sz="0" w:space="0" w:color="auto"/>
        <w:right w:val="none" w:sz="0" w:space="0" w:color="auto"/>
      </w:divBdr>
    </w:div>
    <w:div w:id="567686614">
      <w:bodyDiv w:val="1"/>
      <w:marLeft w:val="0"/>
      <w:marRight w:val="0"/>
      <w:marTop w:val="0"/>
      <w:marBottom w:val="0"/>
      <w:divBdr>
        <w:top w:val="none" w:sz="0" w:space="0" w:color="auto"/>
        <w:left w:val="none" w:sz="0" w:space="0" w:color="auto"/>
        <w:bottom w:val="none" w:sz="0" w:space="0" w:color="auto"/>
        <w:right w:val="none" w:sz="0" w:space="0" w:color="auto"/>
      </w:divBdr>
    </w:div>
    <w:div w:id="123339367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sChild>
        <w:div w:id="1779332306">
          <w:marLeft w:val="0"/>
          <w:marRight w:val="0"/>
          <w:marTop w:val="0"/>
          <w:marBottom w:val="0"/>
          <w:divBdr>
            <w:top w:val="none" w:sz="0" w:space="0" w:color="auto"/>
            <w:left w:val="none" w:sz="0" w:space="0" w:color="auto"/>
            <w:bottom w:val="none" w:sz="0" w:space="0" w:color="auto"/>
            <w:right w:val="single" w:sz="6" w:space="0" w:color="000000"/>
          </w:divBdr>
          <w:divsChild>
            <w:div w:id="15409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0.png"/><Relationship Id="rId12" Type="http://schemas.openxmlformats.org/officeDocument/2006/relationships/image" Target="media/image4.png"/><Relationship Id="rId17" Type="http://schemas.openxmlformats.org/officeDocument/2006/relationships/hyperlink" Target="https://de.wikipedia.org/wiki/Frida_Giannin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docs.live.net/7ff36870b9739543/Dokumente/Investments/2.Unternehmen/Kering/Research%20und%20Bewertung/Kering.excl/Kering%20Profil.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10" Type="http://schemas.openxmlformats.org/officeDocument/2006/relationships/hyperlink" Target="https://d.docs.live.net/7ff36870b9739543/Dokumente/Investments/2.Unternehmen/Kering/Research%20und%20Bewertung/Kering.excl/Kering%20Profil.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d.docs.live.net/7ff36870b9739543/Dokumente/Investments/2.Unternehmen/Kering/Research%20und%20Bewertung/Kering.excl/Kering%20Profil.docx" TargetMode="External"/><Relationship Id="rId14" Type="http://schemas.openxmlformats.org/officeDocument/2006/relationships/image" Target="media/image5.png"/><Relationship Id="rId22"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1">
                <a:solidFill>
                  <a:sysClr val="windowText" lastClr="000000"/>
                </a:solidFill>
              </a:rPr>
              <a:t>Aktionärsstruktur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1-EAE9-4974-A31B-09ED2112B30D}"/>
              </c:ext>
            </c:extLst>
          </c:dPt>
          <c:dPt>
            <c:idx val="1"/>
            <c:bubble3D val="0"/>
            <c:spPr>
              <a:solidFill>
                <a:schemeClr val="tx2">
                  <a:lumMod val="50000"/>
                </a:schemeClr>
              </a:solidFill>
              <a:ln w="19050">
                <a:solidFill>
                  <a:schemeClr val="lt1"/>
                </a:solidFill>
              </a:ln>
              <a:effectLst/>
            </c:spPr>
            <c:extLst>
              <c:ext xmlns:c16="http://schemas.microsoft.com/office/drawing/2014/chart" uri="{C3380CC4-5D6E-409C-BE32-E72D297353CC}">
                <c16:uniqueId val="{00000003-EAE9-4974-A31B-09ED2112B30D}"/>
              </c:ext>
            </c:extLst>
          </c:dPt>
          <c:dPt>
            <c:idx val="2"/>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5-EAE9-4974-A31B-09ED2112B30D}"/>
              </c:ext>
            </c:extLst>
          </c:dPt>
          <c:dPt>
            <c:idx val="3"/>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7-EAE9-4974-A31B-09ED2112B30D}"/>
              </c:ext>
            </c:extLst>
          </c:dPt>
          <c:dPt>
            <c:idx val="4"/>
            <c:bubble3D val="0"/>
            <c:spPr>
              <a:solidFill>
                <a:schemeClr val="tx2">
                  <a:lumMod val="40000"/>
                  <a:lumOff val="60000"/>
                </a:schemeClr>
              </a:solidFill>
              <a:ln w="19050">
                <a:solidFill>
                  <a:schemeClr val="lt1"/>
                </a:solidFill>
              </a:ln>
              <a:effectLst/>
            </c:spPr>
            <c:extLst>
              <c:ext xmlns:c16="http://schemas.microsoft.com/office/drawing/2014/chart" uri="{C3380CC4-5D6E-409C-BE32-E72D297353CC}">
                <c16:uniqueId val="{00000009-EAE9-4974-A31B-09ED2112B30D}"/>
              </c:ext>
            </c:extLst>
          </c:dPt>
          <c:dPt>
            <c:idx val="5"/>
            <c:bubble3D val="0"/>
            <c:spPr>
              <a:solidFill>
                <a:schemeClr val="accent1">
                  <a:lumMod val="20000"/>
                  <a:lumOff val="80000"/>
                </a:schemeClr>
              </a:solidFill>
              <a:ln w="19050">
                <a:solidFill>
                  <a:schemeClr val="lt1"/>
                </a:solidFill>
              </a:ln>
              <a:effectLst/>
            </c:spPr>
            <c:extLst>
              <c:ext xmlns:c16="http://schemas.microsoft.com/office/drawing/2014/chart" uri="{C3380CC4-5D6E-409C-BE32-E72D297353CC}">
                <c16:uniqueId val="{0000000B-EAE9-4974-A31B-09ED2112B30D}"/>
              </c:ext>
            </c:extLst>
          </c:dPt>
          <c:dLbls>
            <c:dLbl>
              <c:idx val="0"/>
              <c:layout>
                <c:manualLayout>
                  <c:x val="1.0387560328140153E-2"/>
                  <c:y val="-9.808479180277137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AE9-4974-A31B-09ED2112B30D}"/>
                </c:ext>
              </c:extLst>
            </c:dLbl>
            <c:dLbl>
              <c:idx val="1"/>
              <c:layout>
                <c:manualLayout>
                  <c:x val="-6.3915441382951244E-2"/>
                  <c:y val="-2.7499570195647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AE9-4974-A31B-09ED2112B30D}"/>
                </c:ext>
              </c:extLst>
            </c:dLbl>
            <c:dLbl>
              <c:idx val="2"/>
              <c:layout>
                <c:manualLayout>
                  <c:x val="-2.6718486152141112E-2"/>
                  <c:y val="2.90540865797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AE9-4974-A31B-09ED2112B30D}"/>
                </c:ext>
              </c:extLst>
            </c:dLbl>
            <c:dLbl>
              <c:idx val="5"/>
              <c:layout>
                <c:manualLayout>
                  <c:x val="-5.2448508130492253E-4"/>
                  <c:y val="-2.62005295189629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AE9-4974-A31B-09ED2112B3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Tabelle1!$A$3:$A$8</c:f>
              <c:strCache>
                <c:ptCount val="6"/>
                <c:pt idx="0">
                  <c:v>Free Float</c:v>
                </c:pt>
                <c:pt idx="1">
                  <c:v>Pinault Francois Famlie </c:v>
                </c:pt>
                <c:pt idx="2">
                  <c:v>Baillie Gifford &amp; Co.</c:v>
                </c:pt>
                <c:pt idx="3">
                  <c:v>Capital Research &amp; Management Co</c:v>
                </c:pt>
                <c:pt idx="4">
                  <c:v>Vanguard Gruppe </c:v>
                </c:pt>
                <c:pt idx="5">
                  <c:v>Sonstige Institonelle Investoren mit einem Anteil &lt;2%</c:v>
                </c:pt>
              </c:strCache>
            </c:strRef>
          </c:cat>
          <c:val>
            <c:numRef>
              <c:f>Tabelle1!$B$3:$B$8</c:f>
              <c:numCache>
                <c:formatCode>0.00%</c:formatCode>
                <c:ptCount val="6"/>
                <c:pt idx="0">
                  <c:v>0.35489999999999999</c:v>
                </c:pt>
                <c:pt idx="1">
                  <c:v>0.42230000000000001</c:v>
                </c:pt>
                <c:pt idx="2">
                  <c:v>5.0200000000000002E-2</c:v>
                </c:pt>
                <c:pt idx="3">
                  <c:v>2.29E-2</c:v>
                </c:pt>
                <c:pt idx="4">
                  <c:v>2.0199999999999999E-2</c:v>
                </c:pt>
                <c:pt idx="5">
                  <c:v>0.12949999999999995</c:v>
                </c:pt>
              </c:numCache>
            </c:numRef>
          </c:val>
          <c:extLst>
            <c:ext xmlns:c16="http://schemas.microsoft.com/office/drawing/2014/chart" uri="{C3380CC4-5D6E-409C-BE32-E72D297353CC}">
              <c16:uniqueId val="{0000000C-EAE9-4974-A31B-09ED2112B30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0">
                <a:solidFill>
                  <a:sysClr val="windowText" lastClr="000000"/>
                </a:solidFill>
              </a:rPr>
              <a:t>Hisorische</a:t>
            </a:r>
            <a:r>
              <a:rPr lang="de-DE" b="0" baseline="0"/>
              <a:t> </a:t>
            </a:r>
            <a:r>
              <a:rPr lang="de-DE" sz="1400" b="0" i="0" u="none" strike="noStrike" kern="1200" spc="0" baseline="0">
                <a:solidFill>
                  <a:sysClr val="windowText" lastClr="000000"/>
                </a:solidFill>
                <a:latin typeface="+mn-lt"/>
                <a:ea typeface="+mn-ea"/>
                <a:cs typeface="+mn-cs"/>
              </a:rPr>
              <a:t>Umsätze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Tabelle1!$A$2:$A$15</c:f>
              <c:numCache>
                <c:formatCode>General</c:formatCode>
                <c:ptCount val="14"/>
                <c:pt idx="0">
                  <c:v>2022</c:v>
                </c:pt>
                <c:pt idx="1">
                  <c:v>2021</c:v>
                </c:pt>
                <c:pt idx="2">
                  <c:v>2020</c:v>
                </c:pt>
                <c:pt idx="3">
                  <c:v>2019</c:v>
                </c:pt>
                <c:pt idx="4">
                  <c:v>2018</c:v>
                </c:pt>
                <c:pt idx="5">
                  <c:v>2017</c:v>
                </c:pt>
                <c:pt idx="6">
                  <c:v>2016</c:v>
                </c:pt>
                <c:pt idx="7">
                  <c:v>2015</c:v>
                </c:pt>
                <c:pt idx="8">
                  <c:v>2014</c:v>
                </c:pt>
                <c:pt idx="9">
                  <c:v>2013</c:v>
                </c:pt>
                <c:pt idx="10">
                  <c:v>2012</c:v>
                </c:pt>
                <c:pt idx="11">
                  <c:v>2011</c:v>
                </c:pt>
                <c:pt idx="12">
                  <c:v>2010</c:v>
                </c:pt>
                <c:pt idx="13">
                  <c:v>2009</c:v>
                </c:pt>
              </c:numCache>
            </c:numRef>
          </c:cat>
          <c:val>
            <c:numRef>
              <c:f>Tabelle1!$B$2:$B$15</c:f>
              <c:numCache>
                <c:formatCode>General</c:formatCode>
                <c:ptCount val="14"/>
                <c:pt idx="0">
                  <c:v>21.442</c:v>
                </c:pt>
                <c:pt idx="1">
                  <c:v>20.876000000000001</c:v>
                </c:pt>
                <c:pt idx="2">
                  <c:v>14.964</c:v>
                </c:pt>
                <c:pt idx="3">
                  <c:v>17.79</c:v>
                </c:pt>
                <c:pt idx="4">
                  <c:v>16.138999999999999</c:v>
                </c:pt>
                <c:pt idx="5">
                  <c:v>17.494</c:v>
                </c:pt>
                <c:pt idx="6">
                  <c:v>13.705</c:v>
                </c:pt>
                <c:pt idx="7">
                  <c:v>12.863</c:v>
                </c:pt>
                <c:pt idx="8">
                  <c:v>13.343</c:v>
                </c:pt>
                <c:pt idx="9">
                  <c:v>12.949</c:v>
                </c:pt>
                <c:pt idx="10">
                  <c:v>12.522</c:v>
                </c:pt>
                <c:pt idx="11">
                  <c:v>17.03</c:v>
                </c:pt>
                <c:pt idx="12">
                  <c:v>19.753</c:v>
                </c:pt>
                <c:pt idx="13">
                  <c:v>22.63</c:v>
                </c:pt>
              </c:numCache>
            </c:numRef>
          </c:val>
          <c:smooth val="0"/>
          <c:extLst>
            <c:ext xmlns:c16="http://schemas.microsoft.com/office/drawing/2014/chart" uri="{C3380CC4-5D6E-409C-BE32-E72D297353CC}">
              <c16:uniqueId val="{00000000-A474-41CD-989E-3FE992934142}"/>
            </c:ext>
          </c:extLst>
        </c:ser>
        <c:dLbls>
          <c:showLegendKey val="0"/>
          <c:showVal val="0"/>
          <c:showCatName val="0"/>
          <c:showSerName val="0"/>
          <c:showPercent val="0"/>
          <c:showBubbleSize val="0"/>
        </c:dLbls>
        <c:smooth val="0"/>
        <c:axId val="590877471"/>
        <c:axId val="1790755935"/>
      </c:lineChart>
      <c:catAx>
        <c:axId val="590877471"/>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1790755935"/>
        <c:crosses val="autoZero"/>
        <c:auto val="1"/>
        <c:lblAlgn val="ctr"/>
        <c:lblOffset val="100"/>
        <c:noMultiLvlLbl val="0"/>
      </c:catAx>
      <c:valAx>
        <c:axId val="1790755935"/>
        <c:scaling>
          <c:orientation val="minMax"/>
        </c:scaling>
        <c:delete val="0"/>
        <c:axPos val="r"/>
        <c:majorGridlines>
          <c:spPr>
            <a:ln w="9525" cap="flat" cmpd="thickThin"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087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9T06:57:47.311"/>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2209 55,'-1890'0,"1850"-2,0-3,-73-17,96 19,-60-14,45 11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0588B-1397-4F61-9A28-3113CC8A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5303</Words>
  <Characters>33411</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Kering Se</vt:lpstr>
    </vt:vector>
  </TitlesOfParts>
  <Company/>
  <LinksUpToDate>false</LinksUpToDate>
  <CharactersWithSpaces>38637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Kering Se</dc:title>
  <dc:subject>Unternehmensanalyse</dc:subject>
  <dc:creator>Oscar Settje</dc:creator>
  <cp:keywords/>
  <dc:description/>
  <cp:lastModifiedBy>Oscar Settje</cp:lastModifiedBy>
  <cp:revision>585</cp:revision>
  <cp:lastPrinted>2024-01-22T13:09:00Z</cp:lastPrinted>
  <dcterms:created xsi:type="dcterms:W3CDTF">2024-01-16T15:04:00Z</dcterms:created>
  <dcterms:modified xsi:type="dcterms:W3CDTF">2024-01-22T13:09:00Z</dcterms:modified>
</cp:coreProperties>
</file>