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left"/>
      </w:pPr>
      <w:r>
        <w:drawing>
          <wp:inline xmlns:a="http://schemas.openxmlformats.org/drawingml/2006/main" xmlns:pic="http://schemas.openxmlformats.org/drawingml/2006/picture">
            <wp:extent cx="1944000" cy="379688"/>
            <wp:docPr id="1" name="Picture 1"/>
            <wp:cNvGraphicFramePr>
              <a:graphicFrameLocks noChangeAspect="1"/>
            </wp:cNvGraphicFramePr>
            <a:graphic>
              <a:graphicData uri="http://schemas.openxmlformats.org/drawingml/2006/picture">
                <pic:pic>
                  <pic:nvPicPr>
                    <pic:cNvPr id="0" name="logo-horizontal-trim.png"/>
                    <pic:cNvPicPr/>
                  </pic:nvPicPr>
                  <pic:blipFill>
                    <a:blip r:embed="rId10"/>
                    <a:stretch>
                      <a:fillRect/>
                    </a:stretch>
                  </pic:blipFill>
                  <pic:spPr>
                    <a:xfrm>
                      <a:off x="0" y="0"/>
                      <a:ext cx="1944000" cy="379688"/>
                    </a:xfrm>
                    <a:prstGeom prst="rect"/>
                  </pic:spPr>
                </pic:pic>
              </a:graphicData>
            </a:graphic>
          </wp:inline>
        </w:drawing>
      </w:r>
    </w:p>
    <w:p>
      <w:pPr>
        <w:spacing w:after="80"/>
      </w:pPr>
      <w:r>
        <w:rPr>
          <w:rFonts w:ascii="Calibri" w:hAnsi="Calibri"/>
          <w:b/>
          <w:i w:val="0"/>
          <w:color w:val="C4242F"/>
          <w:sz w:val="22"/>
        </w:rPr>
        <w:t>Documento de procesos</w:t>
      </w:r>
    </w:p>
    <w:p>
      <w:pPr>
        <w:spacing w:after="80"/>
      </w:pPr>
      <w:r>
        <w:rPr>
          <w:rFonts w:ascii="Georgia" w:hAnsi="Georgia"/>
          <w:b/>
          <w:color w:val="021C3C"/>
          <w:sz w:val="60"/>
        </w:rPr>
        <w:t>Sistema de Designaciones</w:t>
      </w:r>
    </w:p>
    <w:p>
      <w:pPr>
        <w:spacing w:after="560"/>
      </w:pPr>
      <w:r>
        <w:rPr>
          <w:rFonts w:ascii="Georgia" w:hAnsi="Georgia"/>
          <w:color w:val="4B564F"/>
          <w:sz w:val="36"/>
        </w:rPr>
        <w:t>Federación de Baloncesto de Madrid</w:t>
      </w:r>
    </w:p>
    <w:p>
      <w:pPr>
        <w:spacing w:after="800"/>
      </w:pPr>
      <w:r>
        <w:rPr>
          <w:rFonts w:ascii="Calibri" w:hAnsi="Calibri"/>
          <w:b w:val="0"/>
          <w:i w:val="0"/>
          <w:color w:val="4B564F"/>
          <w:sz w:val="23"/>
        </w:rPr>
        <w:t>Flujo de procesos completo del ciclo de designación de árbitros y oficiales de mesa, desde el alta de temporada hasta la liquidación mensual. Incluye el estado real de implementación de cada paso y las decisiones que quedan por cerrar con la federación.</w:t>
      </w:r>
    </w:p>
    <w:p>
      <w:pPr>
        <w:spacing w:after="1000"/>
      </w:pPr>
      <w:r>
        <w:drawing>
          <wp:inline xmlns:a="http://schemas.openxmlformats.org/drawingml/2006/main" xmlns:pic="http://schemas.openxmlformats.org/drawingml/2006/picture">
            <wp:extent cx="1296000" cy="907200"/>
            <wp:docPr id="2" name="Picture 2"/>
            <wp:cNvGraphicFramePr>
              <a:graphicFrameLocks noChangeAspect="1"/>
            </wp:cNvGraphicFramePr>
            <a:graphic>
              <a:graphicData uri="http://schemas.openxmlformats.org/drawingml/2006/picture">
                <pic:pic>
                  <pic:nvPicPr>
                    <pic:cNvPr id="0" name="logo-fbm-trim.png"/>
                    <pic:cNvPicPr/>
                  </pic:nvPicPr>
                  <pic:blipFill>
                    <a:blip r:embed="rId11"/>
                    <a:stretch>
                      <a:fillRect/>
                    </a:stretch>
                  </pic:blipFill>
                  <pic:spPr>
                    <a:xfrm>
                      <a:off x="0" y="0"/>
                      <a:ext cx="1296000" cy="907200"/>
                    </a:xfrm>
                    <a:prstGeom prst="rect"/>
                  </pic:spPr>
                </pic:pic>
              </a:graphicData>
            </a:graphic>
          </wp:inline>
        </w:drawing>
      </w:r>
    </w:p>
    <w:tbl>
      <w:tblPr>
        <w:tblStyle w:val="TableGrid"/>
        <w:tblW w:type="auto" w:w="0"/>
        <w:tblLook w:firstColumn="1" w:firstRow="1" w:lastColumn="0" w:lastRow="0" w:noHBand="0" w:noVBand="1" w:val="04A0"/>
      </w:tblPr>
      <w:tblGrid>
        <w:gridCol w:w="4759"/>
        <w:gridCol w:w="4759"/>
      </w:tblGrid>
      <w:tr>
        <w:tc>
          <w:tcPr>
            <w:tcW w:type="dxa" w:w="2551"/>
            <w:shd w:val="clear" w:color="auto" w:fill="FAF7F2"/>
          </w:tcPr>
          <w:p>
            <w:pPr>
              <w:spacing w:before="40" w:after="40"/>
            </w:pPr>
            <w:r/>
            <w:r>
              <w:rPr>
                <w:rFonts w:ascii="Calibri" w:hAnsi="Calibri"/>
                <w:b/>
                <w:color w:val="021C3C"/>
                <w:sz w:val="20"/>
              </w:rPr>
              <w:t>Versión</w:t>
            </w:r>
          </w:p>
        </w:tc>
        <w:tc>
          <w:tcPr>
            <w:tcW w:type="dxa" w:w="6520"/>
          </w:tcPr>
          <w:p>
            <w:pPr>
              <w:spacing w:before="40" w:after="40"/>
            </w:pPr>
            <w:r/>
            <w:r>
              <w:rPr>
                <w:rFonts w:ascii="Calibri" w:hAnsi="Calibri"/>
                <w:b w:val="0"/>
                <w:color w:val="1B231F"/>
                <w:sz w:val="20"/>
              </w:rPr>
              <w:t>1.0</w:t>
            </w:r>
          </w:p>
        </w:tc>
      </w:tr>
      <w:tr>
        <w:tc>
          <w:tcPr>
            <w:tcW w:type="dxa" w:w="2551"/>
            <w:shd w:val="clear" w:color="auto" w:fill="FAF7F2"/>
          </w:tcPr>
          <w:p>
            <w:pPr>
              <w:spacing w:before="40" w:after="40"/>
            </w:pPr>
            <w:r/>
            <w:r>
              <w:rPr>
                <w:rFonts w:ascii="Calibri" w:hAnsi="Calibri"/>
                <w:b/>
                <w:color w:val="021C3C"/>
                <w:sz w:val="20"/>
              </w:rPr>
              <w:t>Fecha</w:t>
            </w:r>
          </w:p>
        </w:tc>
        <w:tc>
          <w:tcPr>
            <w:tcW w:type="dxa" w:w="6520"/>
          </w:tcPr>
          <w:p>
            <w:pPr>
              <w:spacing w:before="40" w:after="40"/>
            </w:pPr>
            <w:r/>
            <w:r>
              <w:rPr>
                <w:rFonts w:ascii="Calibri" w:hAnsi="Calibri"/>
                <w:b w:val="0"/>
                <w:color w:val="1B231F"/>
                <w:sz w:val="20"/>
              </w:rPr>
              <w:t>25 de julio de 2026</w:t>
            </w:r>
          </w:p>
        </w:tc>
      </w:tr>
      <w:tr>
        <w:tc>
          <w:tcPr>
            <w:tcW w:type="dxa" w:w="2551"/>
            <w:shd w:val="clear" w:color="auto" w:fill="FAF7F2"/>
          </w:tcPr>
          <w:p>
            <w:pPr>
              <w:spacing w:before="40" w:after="40"/>
            </w:pPr>
            <w:r/>
            <w:r>
              <w:rPr>
                <w:rFonts w:ascii="Calibri" w:hAnsi="Calibri"/>
                <w:b/>
                <w:color w:val="021C3C"/>
                <w:sz w:val="20"/>
              </w:rPr>
              <w:t>Preparado por</w:t>
            </w:r>
          </w:p>
        </w:tc>
        <w:tc>
          <w:tcPr>
            <w:tcW w:type="dxa" w:w="6520"/>
          </w:tcPr>
          <w:p>
            <w:pPr>
              <w:spacing w:before="40" w:after="40"/>
            </w:pPr>
            <w:r/>
            <w:r>
              <w:rPr>
                <w:rFonts w:ascii="Calibri" w:hAnsi="Calibri"/>
                <w:b w:val="0"/>
                <w:color w:val="1B231F"/>
                <w:sz w:val="20"/>
              </w:rPr>
              <w:t>DOCERO</w:t>
            </w:r>
          </w:p>
        </w:tc>
      </w:tr>
      <w:tr>
        <w:tc>
          <w:tcPr>
            <w:tcW w:type="dxa" w:w="2551"/>
            <w:shd w:val="clear" w:color="auto" w:fill="FAF7F2"/>
          </w:tcPr>
          <w:p>
            <w:pPr>
              <w:spacing w:before="40" w:after="40"/>
            </w:pPr>
            <w:r/>
            <w:r>
              <w:rPr>
                <w:rFonts w:ascii="Calibri" w:hAnsi="Calibri"/>
                <w:b/>
                <w:color w:val="021C3C"/>
                <w:sz w:val="20"/>
              </w:rPr>
              <w:t>Destinatario</w:t>
            </w:r>
          </w:p>
        </w:tc>
        <w:tc>
          <w:tcPr>
            <w:tcW w:type="dxa" w:w="6520"/>
          </w:tcPr>
          <w:p>
            <w:pPr>
              <w:spacing w:before="40" w:after="40"/>
            </w:pPr>
            <w:r/>
            <w:r>
              <w:rPr>
                <w:rFonts w:ascii="Calibri" w:hAnsi="Calibri"/>
                <w:b w:val="0"/>
                <w:color w:val="1B231F"/>
                <w:sz w:val="20"/>
              </w:rPr>
              <w:t>Federación de Baloncesto de Madrid</w:t>
            </w:r>
          </w:p>
        </w:tc>
      </w:tr>
    </w:tbl>
    <w:p>
      <w:r>
        <w:br w:type="page"/>
      </w:r>
    </w:p>
    <w:p>
      <w:pPr>
        <w:keepNext/>
        <w:spacing w:before="360" w:after="120"/>
      </w:pPr>
      <w:r>
        <w:rPr>
          <w:rFonts w:ascii="Georgia" w:hAnsi="Georgia"/>
          <w:b/>
          <w:color w:val="021C3C"/>
          <w:sz w:val="34"/>
        </w:rPr>
        <w:t>1. Resumen ejecutivo</w:t>
      </w:r>
    </w:p>
    <w:p>
      <w:pPr>
        <w:spacing w:after="160"/>
      </w:pPr>
      <w:r>
        <w:rPr>
          <w:rFonts w:ascii="Calibri" w:hAnsi="Calibri"/>
          <w:b w:val="0"/>
          <w:i w:val="0"/>
          <w:color w:val="1B231F"/>
          <w:sz w:val="21"/>
        </w:rPr>
        <w:t>Este documento describe cómo funciona el ciclo completo de designación con el sistema en marcha: quién hace cada paso, qué reglas lo gobiernan y qué decide el sistema frente a qué decide una persona.</w:t>
      </w:r>
    </w:p>
    <w:p>
      <w:pPr>
        <w:spacing w:after="160"/>
      </w:pPr>
      <w:r>
        <w:rPr>
          <w:rFonts w:ascii="Calibri" w:hAnsi="Calibri"/>
          <w:b w:val="0"/>
          <w:i w:val="0"/>
          <w:color w:val="1B231F"/>
          <w:sz w:val="21"/>
        </w:rPr>
        <w:t>No es una propuesta teórica. La mayor parte de los procesos descritos está construida y verificada contra el calendario real de la temporada 2025/2026: 24.508 partidos, 1.279 árbitros y oficiales de mesa, 29 jornadas, y las tarifas oficiales de las Bases Generales de la FBM.</w:t>
      </w:r>
    </w:p>
    <w:p>
      <w:pPr>
        <w:keepNext/>
        <w:spacing w:before="240" w:after="120"/>
      </w:pPr>
      <w:r>
        <w:rPr>
          <w:rFonts w:ascii="Georgia" w:hAnsi="Georgia"/>
          <w:b/>
          <w:color w:val="C4242F"/>
          <w:sz w:val="23"/>
        </w:rPr>
        <w:t>Situación actual en una línea</w:t>
      </w:r>
    </w:p>
    <w:p>
      <w:pPr>
        <w:spacing w:after="160"/>
      </w:pPr>
      <w:r>
        <w:rPr>
          <w:rFonts w:ascii="Calibri" w:hAnsi="Calibri"/>
          <w:b w:val="0"/>
          <w:i w:val="0"/>
          <w:color w:val="1B231F"/>
          <w:sz w:val="21"/>
        </w:rPr>
        <w:t>El motor de designación funciona y resuelve una jornada punta en menos de medio minuto; lo que falta para un piloto con personas reales no es capacidad de cálculo, sino tres piezas de operación: control de acceso, notificaciones y almacenamiento definitivo.</w:t>
      </w:r>
    </w:p>
    <w:p>
      <w:pPr>
        <w:keepNext/>
        <w:spacing w:before="240" w:after="120"/>
      </w:pPr>
      <w:r>
        <w:rPr>
          <w:rFonts w:ascii="Georgia" w:hAnsi="Georgia"/>
          <w:b/>
          <w:color w:val="C4242F"/>
          <w:sz w:val="23"/>
        </w:rPr>
        <w:t>Lo que ya está resuelto</w:t>
      </w:r>
    </w:p>
    <w:p>
      <w:pPr>
        <w:pStyle w:val="ListBullet"/>
        <w:spacing w:after="80"/>
      </w:pPr>
      <w:r>
        <w:rPr>
          <w:rFonts w:ascii="Calibri" w:hAnsi="Calibri"/>
          <w:color w:val="1B231F"/>
          <w:sz w:val="21"/>
        </w:rPr>
        <w:t>Importación de los partidos de la jornada desde el fichero oficial de competición, con validación previa.</w:t>
      </w:r>
    </w:p>
    <w:p>
      <w:pPr>
        <w:pStyle w:val="ListBullet"/>
        <w:spacing w:after="80"/>
      </w:pPr>
      <w:r>
        <w:rPr>
          <w:rFonts w:ascii="Calibri" w:hAnsi="Calibri"/>
          <w:color w:val="1B231F"/>
          <w:sz w:val="21"/>
        </w:rPr>
        <w:t>Portal para que cada árbitro y oficial de mesa declare su disponibilidad semanal.</w:t>
      </w:r>
    </w:p>
    <w:p>
      <w:pPr>
        <w:pStyle w:val="ListBullet"/>
        <w:spacing w:after="80"/>
      </w:pPr>
      <w:r>
        <w:rPr>
          <w:rFonts w:ascii="Calibri" w:hAnsi="Calibri"/>
          <w:color w:val="1B231F"/>
          <w:sz w:val="21"/>
        </w:rPr>
        <w:t>Propuesta automática de designaciones que respeta las reglas de la federación y minimiza el coste de desplazamiento.</w:t>
      </w:r>
    </w:p>
    <w:p>
      <w:pPr>
        <w:pStyle w:val="ListBullet"/>
        <w:spacing w:after="80"/>
      </w:pPr>
      <w:r>
        <w:rPr>
          <w:rFonts w:ascii="Calibri" w:hAnsi="Calibri"/>
          <w:color w:val="1B231F"/>
          <w:sz w:val="21"/>
        </w:rPr>
        <w:t>Panel de revisión con ajuste manual puesto a puesto y verificación previa a publicar.</w:t>
      </w:r>
    </w:p>
    <w:p>
      <w:pPr>
        <w:pStyle w:val="ListBullet"/>
        <w:spacing w:after="80"/>
      </w:pPr>
      <w:r>
        <w:rPr>
          <w:rFonts w:ascii="Calibri" w:hAnsi="Calibri"/>
          <w:color w:val="1B231F"/>
          <w:sz w:val="21"/>
        </w:rPr>
        <w:t>Liquidación mensual con desglose por persona y día, exportable a Excel y PDF.</w:t>
      </w:r>
    </w:p>
    <w:p>
      <w:pPr>
        <w:keepNext/>
        <w:spacing w:before="240" w:after="120"/>
      </w:pPr>
      <w:r>
        <w:rPr>
          <w:rFonts w:ascii="Georgia" w:hAnsi="Georgia"/>
          <w:b/>
          <w:color w:val="C4242F"/>
          <w:sz w:val="23"/>
        </w:rPr>
        <w:t>Lo que falta para operar con personas reales</w:t>
      </w:r>
    </w:p>
    <w:p>
      <w:pPr>
        <w:pStyle w:val="ListBullet"/>
        <w:spacing w:after="80"/>
      </w:pPr>
      <w:r>
        <w:rPr>
          <w:rFonts w:ascii="Calibri" w:hAnsi="Calibri"/>
          <w:color w:val="1B231F"/>
          <w:sz w:val="21"/>
        </w:rPr>
        <w:t>Control de acceso efectivo: hoy no hay separación real de permisos entre perfiles.</w:t>
      </w:r>
    </w:p>
    <w:p>
      <w:pPr>
        <w:pStyle w:val="ListBullet"/>
        <w:spacing w:after="80"/>
      </w:pPr>
      <w:r>
        <w:rPr>
          <w:rFonts w:ascii="Calibri" w:hAnsi="Calibri"/>
          <w:color w:val="1B231F"/>
          <w:sz w:val="21"/>
        </w:rPr>
        <w:t>Notificaciones: publicar deja constancia de la designación, pero todavía no envía el aviso a cada persona.</w:t>
      </w:r>
    </w:p>
    <w:p>
      <w:pPr>
        <w:pStyle w:val="ListBullet"/>
        <w:spacing w:after="80"/>
      </w:pPr>
      <w:r>
        <w:rPr>
          <w:rFonts w:ascii="Calibri" w:hAnsi="Calibri"/>
          <w:color w:val="1B231F"/>
          <w:sz w:val="21"/>
        </w:rPr>
        <w:t>Almacenamiento definitivo en base de datos, en lugar del almacenamiento provisional actual.</w:t>
      </w:r>
    </w:p>
    <w:p>
      <w:pPr>
        <w:spacing w:after="160"/>
      </w:pPr>
      <w:r>
        <w:rPr>
          <w:rFonts w:ascii="Calibri" w:hAnsi="Calibri"/>
          <w:b w:val="0"/>
          <w:i/>
          <w:color w:val="9C5429"/>
          <w:sz w:val="20"/>
        </w:rPr>
        <w:t>Aviso metodológico: la disponibilidad usada en las simulaciones es generada, no declarada por personas reales. Las cifras de cobertura de este documento describen el comportamiento del sistema bajo ese supuesto y deben reconfirmarse con disponibilidad real antes de tomar decisiones sobre plantilla arbitral.</w:t>
      </w:r>
    </w:p>
    <w:p>
      <w:pPr>
        <w:keepNext/>
        <w:spacing w:before="360" w:after="120"/>
      </w:pPr>
      <w:r>
        <w:rPr>
          <w:rFonts w:ascii="Georgia" w:hAnsi="Georgia"/>
          <w:b/>
          <w:color w:val="021C3C"/>
          <w:sz w:val="34"/>
        </w:rPr>
        <w:t>2. Cómo leer este documento</w:t>
      </w:r>
    </w:p>
    <w:p>
      <w:pPr>
        <w:spacing w:after="160"/>
      </w:pPr>
      <w:r>
        <w:rPr>
          <w:rFonts w:ascii="Calibri" w:hAnsi="Calibri"/>
          <w:b w:val="0"/>
          <w:i w:val="0"/>
          <w:color w:val="1B231F"/>
          <w:sz w:val="21"/>
        </w:rPr>
        <w:t>Cada proceso se presenta con sus pasos, el actor responsable y el estado de implementación:</w:t>
      </w:r>
    </w:p>
    <w:tbl>
      <w:tblPr>
        <w:tblStyle w:val="TableGrid"/>
        <w:tblW w:type="auto" w:w="0"/>
        <w:jc w:val="center"/>
        <w:tblLook w:firstColumn="1" w:firstRow="1" w:lastColumn="0" w:lastRow="0" w:noHBand="0" w:noVBand="1" w:val="04A0"/>
      </w:tblPr>
      <w:tblGrid>
        <w:gridCol w:w="4759"/>
        <w:gridCol w:w="4759"/>
      </w:tblGrid>
      <w:tr>
        <w:tc>
          <w:tcPr>
            <w:tcW w:type="dxa" w:w="1984"/>
            <w:shd w:val="clear" w:color="auto" w:fill="C4242F"/>
          </w:tcPr>
          <w:p>
            <w:pPr>
              <w:spacing w:before="40" w:after="40"/>
            </w:pPr>
            <w:r/>
            <w:r>
              <w:rPr>
                <w:rFonts w:ascii="Calibri" w:hAnsi="Calibri"/>
                <w:b/>
                <w:color w:val="FFFFFF"/>
                <w:sz w:val="19"/>
              </w:rPr>
              <w:t>Estado</w:t>
            </w:r>
          </w:p>
        </w:tc>
        <w:tc>
          <w:tcPr>
            <w:tcW w:type="dxa" w:w="7087"/>
            <w:shd w:val="clear" w:color="auto" w:fill="C4242F"/>
          </w:tcPr>
          <w:p>
            <w:pPr>
              <w:spacing w:before="40" w:after="40"/>
            </w:pPr>
            <w:r/>
            <w:r>
              <w:rPr>
                <w:rFonts w:ascii="Calibri" w:hAnsi="Calibri"/>
                <w:b/>
                <w:color w:val="FFFFFF"/>
                <w:sz w:val="19"/>
              </w:rPr>
              <w:t>Significado</w:t>
            </w:r>
          </w:p>
        </w:tc>
      </w:tr>
      <w:tr>
        <w:tc>
          <w:tcPr>
            <w:tcW w:type="dxa" w:w="1984"/>
          </w:tcPr>
          <w:p>
            <w:pPr>
              <w:spacing w:before="40" w:after="40"/>
            </w:pPr>
            <w:r/>
            <w:r>
              <w:rPr>
                <w:rFonts w:ascii="Calibri" w:hAnsi="Calibri"/>
                <w:b w:val="0"/>
                <w:color w:val="1B231F"/>
                <w:sz w:val="19"/>
              </w:rPr>
              <w:t>Operativo</w:t>
            </w:r>
          </w:p>
        </w:tc>
        <w:tc>
          <w:tcPr>
            <w:tcW w:type="dxa" w:w="7087"/>
          </w:tcPr>
          <w:p>
            <w:pPr>
              <w:spacing w:before="40" w:after="40"/>
            </w:pPr>
            <w:r/>
            <w:r>
              <w:rPr>
                <w:rFonts w:ascii="Calibri" w:hAnsi="Calibri"/>
                <w:b w:val="0"/>
                <w:color w:val="1B231F"/>
                <w:sz w:val="19"/>
              </w:rPr>
              <w:t>Construido y verificado con datos reales de la temporada</w:t>
            </w:r>
          </w:p>
        </w:tc>
      </w:tr>
      <w:tr>
        <w:tc>
          <w:tcPr>
            <w:tcW w:type="dxa" w:w="1984"/>
          </w:tcPr>
          <w:p>
            <w:pPr>
              <w:spacing w:before="40" w:after="40"/>
            </w:pPr>
            <w:r/>
            <w:r>
              <w:rPr>
                <w:rFonts w:ascii="Calibri" w:hAnsi="Calibri"/>
                <w:b w:val="0"/>
                <w:color w:val="1B231F"/>
                <w:sz w:val="19"/>
              </w:rPr>
              <w:t>Parcial</w:t>
            </w:r>
          </w:p>
        </w:tc>
        <w:tc>
          <w:tcPr>
            <w:tcW w:type="dxa" w:w="7087"/>
          </w:tcPr>
          <w:p>
            <w:pPr>
              <w:spacing w:before="40" w:after="40"/>
            </w:pPr>
            <w:r/>
            <w:r>
              <w:rPr>
                <w:rFonts w:ascii="Calibri" w:hAnsi="Calibri"/>
                <w:b w:val="0"/>
                <w:color w:val="1B231F"/>
                <w:sz w:val="19"/>
              </w:rPr>
              <w:t>Construido con una limitación relevante o con un sustituto provisional</w:t>
            </w:r>
          </w:p>
        </w:tc>
      </w:tr>
      <w:tr>
        <w:tc>
          <w:tcPr>
            <w:tcW w:type="dxa" w:w="1984"/>
          </w:tcPr>
          <w:p>
            <w:pPr>
              <w:spacing w:before="40" w:after="40"/>
            </w:pPr>
            <w:r/>
            <w:r>
              <w:rPr>
                <w:rFonts w:ascii="Calibri" w:hAnsi="Calibri"/>
                <w:b w:val="0"/>
                <w:color w:val="1B231F"/>
                <w:sz w:val="19"/>
              </w:rPr>
              <w:t>Pendiente</w:t>
            </w:r>
          </w:p>
        </w:tc>
        <w:tc>
          <w:tcPr>
            <w:tcW w:type="dxa" w:w="7087"/>
          </w:tcPr>
          <w:p>
            <w:pPr>
              <w:spacing w:before="40" w:after="40"/>
            </w:pPr>
            <w:r/>
            <w:r>
              <w:rPr>
                <w:rFonts w:ascii="Calibri" w:hAnsi="Calibri"/>
                <w:b w:val="0"/>
                <w:color w:val="1B231F"/>
                <w:sz w:val="19"/>
              </w:rPr>
              <w:t>Todavía no construido</w:t>
            </w:r>
          </w:p>
        </w:tc>
      </w:tr>
    </w:tbl>
    <w:p/>
    <w:p>
      <w:pPr>
        <w:keepNext/>
        <w:spacing w:before="360" w:after="120"/>
      </w:pPr>
      <w:r>
        <w:rPr>
          <w:rFonts w:ascii="Georgia" w:hAnsi="Georgia"/>
          <w:b/>
          <w:color w:val="021C3C"/>
          <w:sz w:val="34"/>
        </w:rPr>
        <w:t>3. Actores del proceso</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C4242F"/>
          </w:tcPr>
          <w:p>
            <w:pPr>
              <w:spacing w:before="40" w:after="40"/>
            </w:pPr>
            <w:r/>
            <w:r>
              <w:rPr>
                <w:rFonts w:ascii="Calibri" w:hAnsi="Calibri"/>
                <w:b/>
                <w:color w:val="FFFFFF"/>
                <w:sz w:val="19"/>
              </w:rPr>
              <w:t>Actor</w:t>
            </w:r>
          </w:p>
        </w:tc>
        <w:tc>
          <w:tcPr>
            <w:tcW w:type="dxa" w:w="2835"/>
            <w:shd w:val="clear" w:color="auto" w:fill="C4242F"/>
          </w:tcPr>
          <w:p>
            <w:pPr>
              <w:spacing w:before="40" w:after="40"/>
            </w:pPr>
            <w:r/>
            <w:r>
              <w:rPr>
                <w:rFonts w:ascii="Calibri" w:hAnsi="Calibri"/>
                <w:b/>
                <w:color w:val="FFFFFF"/>
                <w:sz w:val="19"/>
              </w:rPr>
              <w:t>Quién es</w:t>
            </w:r>
          </w:p>
        </w:tc>
        <w:tc>
          <w:tcPr>
            <w:tcW w:type="dxa" w:w="3969"/>
            <w:shd w:val="clear" w:color="auto" w:fill="C4242F"/>
          </w:tcPr>
          <w:p>
            <w:pPr>
              <w:spacing w:before="40" w:after="40"/>
            </w:pPr>
            <w:r/>
            <w:r>
              <w:rPr>
                <w:rFonts w:ascii="Calibri" w:hAnsi="Calibri"/>
                <w:b/>
                <w:color w:val="FFFFFF"/>
                <w:sz w:val="19"/>
              </w:rPr>
              <w:t>Qué hace</w:t>
            </w:r>
          </w:p>
        </w:tc>
      </w:tr>
      <w:tr>
        <w:tc>
          <w:tcPr>
            <w:tcW w:type="dxa" w:w="2268"/>
          </w:tcPr>
          <w:p>
            <w:pPr>
              <w:spacing w:before="40" w:after="40"/>
            </w:pPr>
            <w:r/>
            <w:r>
              <w:rPr>
                <w:rFonts w:ascii="Calibri" w:hAnsi="Calibri"/>
                <w:b w:val="0"/>
                <w:color w:val="1B231F"/>
                <w:sz w:val="19"/>
              </w:rPr>
              <w:t>Árbitro y oficial de mesa</w:t>
            </w:r>
          </w:p>
        </w:tc>
        <w:tc>
          <w:tcPr>
            <w:tcW w:type="dxa" w:w="2835"/>
          </w:tcPr>
          <w:p>
            <w:pPr>
              <w:spacing w:before="40" w:after="40"/>
            </w:pPr>
            <w:r/>
            <w:r>
              <w:rPr>
                <w:rFonts w:ascii="Calibri" w:hAnsi="Calibri"/>
                <w:b w:val="0"/>
                <w:color w:val="1B231F"/>
                <w:sz w:val="19"/>
              </w:rPr>
              <w:t>1.279 personas, actividad secundaria</w:t>
            </w:r>
          </w:p>
        </w:tc>
        <w:tc>
          <w:tcPr>
            <w:tcW w:type="dxa" w:w="3969"/>
          </w:tcPr>
          <w:p>
            <w:pPr>
              <w:spacing w:before="40" w:after="40"/>
            </w:pPr>
            <w:r/>
            <w:r>
              <w:rPr>
                <w:rFonts w:ascii="Calibri" w:hAnsi="Calibri"/>
                <w:b w:val="0"/>
                <w:color w:val="1B231F"/>
                <w:sz w:val="19"/>
              </w:rPr>
              <w:t>Declara disponibilidad, consulta designaciones, comunica incidencias</w:t>
            </w:r>
          </w:p>
        </w:tc>
      </w:tr>
      <w:tr>
        <w:tc>
          <w:tcPr>
            <w:tcW w:type="dxa" w:w="2268"/>
          </w:tcPr>
          <w:p>
            <w:pPr>
              <w:spacing w:before="40" w:after="40"/>
            </w:pPr>
            <w:r/>
            <w:r>
              <w:rPr>
                <w:rFonts w:ascii="Calibri" w:hAnsi="Calibri"/>
                <w:b w:val="0"/>
                <w:color w:val="1B231F"/>
                <w:sz w:val="19"/>
              </w:rPr>
              <w:t>Designador</w:t>
            </w:r>
          </w:p>
        </w:tc>
        <w:tc>
          <w:tcPr>
            <w:tcW w:type="dxa" w:w="2835"/>
          </w:tcPr>
          <w:p>
            <w:pPr>
              <w:spacing w:before="40" w:after="40"/>
            </w:pPr>
            <w:r/>
            <w:r>
              <w:rPr>
                <w:rFonts w:ascii="Calibri" w:hAnsi="Calibri"/>
                <w:b w:val="0"/>
                <w:color w:val="1B231F"/>
                <w:sz w:val="19"/>
              </w:rPr>
              <w:t>Responsable del comité de árbitros</w:t>
            </w:r>
          </w:p>
        </w:tc>
        <w:tc>
          <w:tcPr>
            <w:tcW w:type="dxa" w:w="3969"/>
          </w:tcPr>
          <w:p>
            <w:pPr>
              <w:spacing w:before="40" w:after="40"/>
            </w:pPr>
            <w:r/>
            <w:r>
              <w:rPr>
                <w:rFonts w:ascii="Calibri" w:hAnsi="Calibri"/>
                <w:b w:val="0"/>
                <w:color w:val="1B231F"/>
                <w:sz w:val="19"/>
              </w:rPr>
              <w:t>Lanza la designación, revisa, ajusta y publica</w:t>
            </w:r>
          </w:p>
        </w:tc>
      </w:tr>
      <w:tr>
        <w:tc>
          <w:tcPr>
            <w:tcW w:type="dxa" w:w="2268"/>
          </w:tcPr>
          <w:p>
            <w:pPr>
              <w:spacing w:before="40" w:after="40"/>
            </w:pPr>
            <w:r/>
            <w:r>
              <w:rPr>
                <w:rFonts w:ascii="Calibri" w:hAnsi="Calibri"/>
                <w:b w:val="0"/>
                <w:color w:val="1B231F"/>
                <w:sz w:val="19"/>
              </w:rPr>
              <w:t>Admin FBM</w:t>
            </w:r>
          </w:p>
        </w:tc>
        <w:tc>
          <w:tcPr>
            <w:tcW w:type="dxa" w:w="2835"/>
          </w:tcPr>
          <w:p>
            <w:pPr>
              <w:spacing w:before="40" w:after="40"/>
            </w:pPr>
            <w:r/>
            <w:r>
              <w:rPr>
                <w:rFonts w:ascii="Calibri" w:hAnsi="Calibri"/>
                <w:b w:val="0"/>
                <w:color w:val="1B231F"/>
                <w:sz w:val="19"/>
              </w:rPr>
              <w:t>Personal de la federación</w:t>
            </w:r>
          </w:p>
        </w:tc>
        <w:tc>
          <w:tcPr>
            <w:tcW w:type="dxa" w:w="3969"/>
          </w:tcPr>
          <w:p>
            <w:pPr>
              <w:spacing w:before="40" w:after="40"/>
            </w:pPr>
            <w:r/>
            <w:r>
              <w:rPr>
                <w:rFonts w:ascii="Calibri" w:hAnsi="Calibri"/>
                <w:b w:val="0"/>
                <w:color w:val="1B231F"/>
                <w:sz w:val="19"/>
              </w:rPr>
              <w:t>Mantiene personal, competiciones, pabellones y parámetros</w:t>
            </w:r>
          </w:p>
        </w:tc>
      </w:tr>
      <w:tr>
        <w:tc>
          <w:tcPr>
            <w:tcW w:type="dxa" w:w="2268"/>
          </w:tcPr>
          <w:p>
            <w:pPr>
              <w:spacing w:before="40" w:after="40"/>
            </w:pPr>
            <w:r/>
            <w:r>
              <w:rPr>
                <w:rFonts w:ascii="Calibri" w:hAnsi="Calibri"/>
                <w:b w:val="0"/>
                <w:color w:val="1B231F"/>
                <w:sz w:val="19"/>
              </w:rPr>
              <w:t>Tesorería FBM</w:t>
            </w:r>
          </w:p>
        </w:tc>
        <w:tc>
          <w:tcPr>
            <w:tcW w:type="dxa" w:w="2835"/>
          </w:tcPr>
          <w:p>
            <w:pPr>
              <w:spacing w:before="40" w:after="40"/>
            </w:pPr>
            <w:r/>
            <w:r>
              <w:rPr>
                <w:rFonts w:ascii="Calibri" w:hAnsi="Calibri"/>
                <w:b w:val="0"/>
                <w:color w:val="1B231F"/>
                <w:sz w:val="19"/>
              </w:rPr>
              <w:t>Departamento financiero</w:t>
            </w:r>
          </w:p>
        </w:tc>
        <w:tc>
          <w:tcPr>
            <w:tcW w:type="dxa" w:w="3969"/>
          </w:tcPr>
          <w:p>
            <w:pPr>
              <w:spacing w:before="40" w:after="40"/>
            </w:pPr>
            <w:r/>
            <w:r>
              <w:rPr>
                <w:rFonts w:ascii="Calibri" w:hAnsi="Calibri"/>
                <w:b w:val="0"/>
                <w:color w:val="1B231F"/>
                <w:sz w:val="19"/>
              </w:rPr>
              <w:t>Recibe la liquidación mensual y ejecuta los pagos</w:t>
            </w:r>
          </w:p>
        </w:tc>
      </w:tr>
      <w:tr>
        <w:tc>
          <w:tcPr>
            <w:tcW w:type="dxa" w:w="2268"/>
          </w:tcPr>
          <w:p>
            <w:pPr>
              <w:spacing w:before="40" w:after="40"/>
            </w:pPr>
            <w:r/>
            <w:r>
              <w:rPr>
                <w:rFonts w:ascii="Calibri" w:hAnsi="Calibri"/>
                <w:b w:val="0"/>
                <w:color w:val="1B231F"/>
                <w:sz w:val="19"/>
              </w:rPr>
              <w:t>Sistema</w:t>
            </w:r>
          </w:p>
        </w:tc>
        <w:tc>
          <w:tcPr>
            <w:tcW w:type="dxa" w:w="2835"/>
          </w:tcPr>
          <w:p>
            <w:pPr>
              <w:spacing w:before="40" w:after="40"/>
            </w:pPr>
            <w:r/>
            <w:r>
              <w:rPr>
                <w:rFonts w:ascii="Calibri" w:hAnsi="Calibri"/>
                <w:b w:val="0"/>
                <w:color w:val="1B231F"/>
                <w:sz w:val="19"/>
              </w:rPr>
              <w:t>La aplicación</w:t>
            </w:r>
          </w:p>
        </w:tc>
        <w:tc>
          <w:tcPr>
            <w:tcW w:type="dxa" w:w="3969"/>
          </w:tcPr>
          <w:p>
            <w:pPr>
              <w:spacing w:before="40" w:after="40"/>
            </w:pPr>
            <w:r/>
            <w:r>
              <w:rPr>
                <w:rFonts w:ascii="Calibri" w:hAnsi="Calibri"/>
                <w:b w:val="0"/>
                <w:color w:val="1B231F"/>
                <w:sz w:val="19"/>
              </w:rPr>
              <w:t>Calcula, valida, propone, avisa y agrega</w:t>
            </w:r>
          </w:p>
        </w:tc>
      </w:tr>
      <w:tr>
        <w:tc>
          <w:tcPr>
            <w:tcW w:type="dxa" w:w="2268"/>
          </w:tcPr>
          <w:p>
            <w:pPr>
              <w:spacing w:before="40" w:after="40"/>
            </w:pPr>
            <w:r/>
            <w:r>
              <w:rPr>
                <w:rFonts w:ascii="Calibri" w:hAnsi="Calibri"/>
                <w:b w:val="0"/>
                <w:color w:val="1B231F"/>
                <w:sz w:val="19"/>
              </w:rPr>
              <w:t>Competición FBM</w:t>
            </w:r>
          </w:p>
        </w:tc>
        <w:tc>
          <w:tcPr>
            <w:tcW w:type="dxa" w:w="2835"/>
          </w:tcPr>
          <w:p>
            <w:pPr>
              <w:spacing w:before="40" w:after="40"/>
            </w:pPr>
            <w:r/>
            <w:r>
              <w:rPr>
                <w:rFonts w:ascii="Calibri" w:hAnsi="Calibri"/>
                <w:b w:val="0"/>
                <w:color w:val="1B231F"/>
                <w:sz w:val="19"/>
              </w:rPr>
              <w:t>Backend de competición (externo)</w:t>
            </w:r>
          </w:p>
        </w:tc>
        <w:tc>
          <w:tcPr>
            <w:tcW w:type="dxa" w:w="3969"/>
          </w:tcPr>
          <w:p>
            <w:pPr>
              <w:spacing w:before="40" w:after="40"/>
            </w:pPr>
            <w:r/>
            <w:r>
              <w:rPr>
                <w:rFonts w:ascii="Calibri" w:hAnsi="Calibri"/>
                <w:b w:val="0"/>
                <w:color w:val="1B231F"/>
                <w:sz w:val="19"/>
              </w:rPr>
              <w:t>Origen de los partidos de cada jornada</w:t>
            </w:r>
          </w:p>
        </w:tc>
      </w:tr>
    </w:tbl>
    <w:p/>
    <w:p>
      <w:pPr>
        <w:keepNext/>
        <w:spacing w:before="240" w:after="120"/>
      </w:pPr>
      <w:r>
        <w:rPr>
          <w:rFonts w:ascii="Georgia" w:hAnsi="Georgia"/>
          <w:b/>
          <w:color w:val="C4242F"/>
          <w:sz w:val="23"/>
        </w:rPr>
        <w:t>Unidad de trabajo</w:t>
      </w:r>
    </w:p>
    <w:p>
      <w:pPr>
        <w:spacing w:after="160"/>
      </w:pPr>
      <w:r>
        <w:rPr>
          <w:rFonts w:ascii="Calibri" w:hAnsi="Calibri"/>
          <w:b w:val="0"/>
          <w:i w:val="0"/>
          <w:color w:val="1B231F"/>
          <w:sz w:val="21"/>
        </w:rPr>
        <w:t>La jornada FBM, de viernes a jueves. Se designa semana a semana, nunca la temporada completa de una vez. Una misma jornada mezcla alrededor de 48 competiciones distintas, por lo que la ventana se calcula siempre por fechas y no por el número de jornada de una competición concreta.</w:t>
      </w:r>
    </w:p>
    <w:p>
      <w:pPr>
        <w:keepNext/>
        <w:spacing w:before="360" w:after="120"/>
      </w:pPr>
      <w:r>
        <w:rPr>
          <w:rFonts w:ascii="Georgia" w:hAnsi="Georgia"/>
          <w:b/>
          <w:color w:val="021C3C"/>
          <w:sz w:val="34"/>
        </w:rPr>
        <w:t>4. Mapa de procesos</w:t>
      </w:r>
    </w:p>
    <w:p>
      <w:pPr>
        <w:jc w:val="center"/>
      </w:pPr>
      <w:r>
        <w:drawing>
          <wp:inline xmlns:a="http://schemas.openxmlformats.org/drawingml/2006/main" xmlns:pic="http://schemas.openxmlformats.org/drawingml/2006/picture">
            <wp:extent cx="5832000" cy="2462400"/>
            <wp:docPr id="3" name="Picture 3"/>
            <wp:cNvGraphicFramePr>
              <a:graphicFrameLocks noChangeAspect="1"/>
            </wp:cNvGraphicFramePr>
            <a:graphic>
              <a:graphicData uri="http://schemas.openxmlformats.org/drawingml/2006/picture">
                <pic:pic>
                  <pic:nvPicPr>
                    <pic:cNvPr id="0" name="diag-nivel0.png"/>
                    <pic:cNvPicPr/>
                  </pic:nvPicPr>
                  <pic:blipFill>
                    <a:blip r:embed="rId12"/>
                    <a:stretch>
                      <a:fillRect/>
                    </a:stretch>
                  </pic:blipFill>
                  <pic:spPr>
                    <a:xfrm>
                      <a:off x="0" y="0"/>
                      <a:ext cx="5832000" cy="2462400"/>
                    </a:xfrm>
                    <a:prstGeom prst="rect"/>
                  </pic:spPr>
                </pic:pic>
              </a:graphicData>
            </a:graphic>
          </wp:inline>
        </w:drawing>
      </w:r>
    </w:p>
    <w:p/>
    <w:p>
      <w:pPr>
        <w:keepNext/>
        <w:spacing w:before="360" w:after="120"/>
      </w:pPr>
      <w:r>
        <w:rPr>
          <w:rFonts w:ascii="Georgia" w:hAnsi="Georgia"/>
          <w:b/>
          <w:color w:val="021C3C"/>
          <w:sz w:val="34"/>
        </w:rPr>
        <w:t>5. Calendario de una jornada</w:t>
      </w:r>
    </w:p>
    <w:p>
      <w:pPr>
        <w:spacing w:after="160"/>
      </w:pPr>
      <w:r>
        <w:rPr>
          <w:rFonts w:ascii="Calibri" w:hAnsi="Calibri"/>
          <w:b w:val="0"/>
          <w:i w:val="0"/>
          <w:color w:val="1B231F"/>
          <w:sz w:val="21"/>
        </w:rPr>
        <w:t>J es el viernes en que arranca la jornada. Los plazos de disponibilidad dependen de la categoría, porque las categorías altas necesitan más antelación: provincial 7 días, autonómico 8, nacional 10 y FEB 12.</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color="auto" w:fill="C4242F"/>
          </w:tcPr>
          <w:p>
            <w:pPr>
              <w:spacing w:before="40" w:after="40"/>
            </w:pPr>
            <w:r/>
            <w:r>
              <w:rPr>
                <w:rFonts w:ascii="Calibri" w:hAnsi="Calibri"/>
                <w:b/>
                <w:color w:val="FFFFFF"/>
                <w:sz w:val="19"/>
              </w:rPr>
              <w:t>Momento</w:t>
            </w:r>
          </w:p>
        </w:tc>
        <w:tc>
          <w:tcPr>
            <w:tcW w:type="dxa" w:w="4762"/>
            <w:shd w:val="clear" w:color="auto" w:fill="C4242F"/>
          </w:tcPr>
          <w:p>
            <w:pPr>
              <w:spacing w:before="40" w:after="40"/>
            </w:pPr>
            <w:r/>
            <w:r>
              <w:rPr>
                <w:rFonts w:ascii="Calibri" w:hAnsi="Calibri"/>
                <w:b/>
                <w:color w:val="FFFFFF"/>
                <w:sz w:val="19"/>
              </w:rPr>
              <w:t>Qué ocurre</w:t>
            </w:r>
          </w:p>
        </w:tc>
        <w:tc>
          <w:tcPr>
            <w:tcW w:type="dxa" w:w="1474"/>
            <w:shd w:val="clear" w:color="auto" w:fill="C4242F"/>
          </w:tcPr>
          <w:p>
            <w:pPr>
              <w:spacing w:before="40" w:after="40"/>
            </w:pPr>
            <w:r/>
            <w:r>
              <w:rPr>
                <w:rFonts w:ascii="Calibri" w:hAnsi="Calibri"/>
                <w:b/>
                <w:color w:val="FFFFFF"/>
                <w:sz w:val="19"/>
              </w:rPr>
              <w:t>Quién</w:t>
            </w:r>
          </w:p>
        </w:tc>
        <w:tc>
          <w:tcPr>
            <w:tcW w:type="dxa" w:w="1361"/>
            <w:shd w:val="clear" w:color="auto" w:fill="C4242F"/>
          </w:tcPr>
          <w:p>
            <w:pPr>
              <w:spacing w:before="40" w:after="40"/>
            </w:pPr>
            <w:r/>
            <w:r>
              <w:rPr>
                <w:rFonts w:ascii="Calibri" w:hAnsi="Calibri"/>
                <w:b/>
                <w:color w:val="FFFFFF"/>
                <w:sz w:val="19"/>
              </w:rPr>
              <w:t>Estado</w:t>
            </w:r>
          </w:p>
        </w:tc>
      </w:tr>
      <w:tr>
        <w:tc>
          <w:tcPr>
            <w:tcW w:type="dxa" w:w="1474"/>
          </w:tcPr>
          <w:p>
            <w:pPr>
              <w:spacing w:before="40" w:after="40"/>
            </w:pPr>
            <w:r/>
            <w:r>
              <w:rPr>
                <w:rFonts w:ascii="Calibri" w:hAnsi="Calibri"/>
                <w:b w:val="0"/>
                <w:color w:val="1B231F"/>
                <w:sz w:val="19"/>
              </w:rPr>
              <w:t>J-12 a J-7</w:t>
            </w:r>
          </w:p>
        </w:tc>
        <w:tc>
          <w:tcPr>
            <w:tcW w:type="dxa" w:w="4762"/>
          </w:tcPr>
          <w:p>
            <w:pPr>
              <w:spacing w:before="40" w:after="40"/>
            </w:pPr>
            <w:r/>
            <w:r>
              <w:rPr>
                <w:rFonts w:ascii="Calibri" w:hAnsi="Calibri"/>
                <w:b w:val="0"/>
                <w:color w:val="1B231F"/>
                <w:sz w:val="19"/>
              </w:rPr>
              <w:t>Se abre la ventana de disponibilidad según categoría</w:t>
            </w:r>
          </w:p>
        </w:tc>
        <w:tc>
          <w:tcPr>
            <w:tcW w:type="dxa" w:w="1474"/>
          </w:tcPr>
          <w:p>
            <w:pPr>
              <w:spacing w:before="40" w:after="40"/>
            </w:pPr>
            <w:r/>
            <w:r>
              <w:rPr>
                <w:rFonts w:ascii="Calibri" w:hAnsi="Calibri"/>
                <w:b w:val="0"/>
                <w:color w:val="1B231F"/>
                <w:sz w:val="19"/>
              </w:rPr>
              <w:t>Sistema</w:t>
            </w:r>
          </w:p>
        </w:tc>
        <w:tc>
          <w:tcPr>
            <w:tcW w:type="dxa" w:w="1361"/>
          </w:tcPr>
          <w:p>
            <w:pPr>
              <w:spacing w:before="40" w:after="40"/>
            </w:pPr>
            <w:r/>
            <w:r>
              <w:rPr>
                <w:rFonts w:ascii="Calibri" w:hAnsi="Calibri"/>
                <w:b w:val="0"/>
                <w:color w:val="1B231F"/>
                <w:sz w:val="19"/>
              </w:rPr>
              <w:t>Parcial</w:t>
            </w:r>
          </w:p>
        </w:tc>
      </w:tr>
      <w:tr>
        <w:tc>
          <w:tcPr>
            <w:tcW w:type="dxa" w:w="1474"/>
          </w:tcPr>
          <w:p>
            <w:pPr>
              <w:spacing w:before="40" w:after="40"/>
            </w:pPr>
            <w:r/>
            <w:r>
              <w:rPr>
                <w:rFonts w:ascii="Calibri" w:hAnsi="Calibri"/>
                <w:b w:val="0"/>
                <w:color w:val="1B231F"/>
                <w:sz w:val="19"/>
              </w:rPr>
              <w:t>J-7 a J-5</w:t>
            </w:r>
          </w:p>
        </w:tc>
        <w:tc>
          <w:tcPr>
            <w:tcW w:type="dxa" w:w="4762"/>
          </w:tcPr>
          <w:p>
            <w:pPr>
              <w:spacing w:before="40" w:after="40"/>
            </w:pPr>
            <w:r/>
            <w:r>
              <w:rPr>
                <w:rFonts w:ascii="Calibri" w:hAnsi="Calibri"/>
                <w:b w:val="0"/>
                <w:color w:val="1B231F"/>
                <w:sz w:val="19"/>
              </w:rPr>
              <w:t>Recordatorio a quien todavía no ha declarado</w:t>
            </w:r>
          </w:p>
        </w:tc>
        <w:tc>
          <w:tcPr>
            <w:tcW w:type="dxa" w:w="1474"/>
          </w:tcPr>
          <w:p>
            <w:pPr>
              <w:spacing w:before="40" w:after="40"/>
            </w:pPr>
            <w:r/>
            <w:r>
              <w:rPr>
                <w:rFonts w:ascii="Calibri" w:hAnsi="Calibri"/>
                <w:b w:val="0"/>
                <w:color w:val="1B231F"/>
                <w:sz w:val="19"/>
              </w:rPr>
              <w:t>Sistema</w:t>
            </w:r>
          </w:p>
        </w:tc>
        <w:tc>
          <w:tcPr>
            <w:tcW w:type="dxa" w:w="1361"/>
          </w:tcPr>
          <w:p>
            <w:pPr>
              <w:spacing w:before="40" w:after="40"/>
            </w:pPr>
            <w:r/>
            <w:r>
              <w:rPr>
                <w:rFonts w:ascii="Calibri" w:hAnsi="Calibri"/>
                <w:b w:val="0"/>
                <w:color w:val="1B231F"/>
                <w:sz w:val="19"/>
              </w:rPr>
              <w:t>Parcial</w:t>
            </w:r>
          </w:p>
        </w:tc>
      </w:tr>
      <w:tr>
        <w:tc>
          <w:tcPr>
            <w:tcW w:type="dxa" w:w="1474"/>
          </w:tcPr>
          <w:p>
            <w:pPr>
              <w:spacing w:before="40" w:after="40"/>
            </w:pPr>
            <w:r/>
            <w:r>
              <w:rPr>
                <w:rFonts w:ascii="Calibri" w:hAnsi="Calibri"/>
                <w:b/>
                <w:color w:val="1B231F"/>
                <w:sz w:val="19"/>
              </w:rPr>
              <w:t>J-5</w:t>
            </w:r>
          </w:p>
        </w:tc>
        <w:tc>
          <w:tcPr>
            <w:tcW w:type="dxa" w:w="4762"/>
          </w:tcPr>
          <w:p>
            <w:pPr>
              <w:spacing w:before="40" w:after="40"/>
            </w:pPr>
            <w:r/>
            <w:r>
              <w:rPr>
                <w:rFonts w:ascii="Calibri" w:hAnsi="Calibri"/>
                <w:b w:val="0"/>
                <w:color w:val="1B231F"/>
                <w:sz w:val="19"/>
              </w:rPr>
              <w:t>Cierre: sin declaración se interpreta como no disponible</w:t>
            </w:r>
          </w:p>
        </w:tc>
        <w:tc>
          <w:tcPr>
            <w:tcW w:type="dxa" w:w="1474"/>
          </w:tcPr>
          <w:p>
            <w:pPr>
              <w:spacing w:before="40" w:after="40"/>
            </w:pPr>
            <w:r/>
            <w:r>
              <w:rPr>
                <w:rFonts w:ascii="Calibri" w:hAnsi="Calibri"/>
                <w:b w:val="0"/>
                <w:color w:val="1B231F"/>
                <w:sz w:val="19"/>
              </w:rPr>
              <w:t>Sistema</w:t>
            </w:r>
          </w:p>
        </w:tc>
        <w:tc>
          <w:tcPr>
            <w:tcW w:type="dxa" w:w="1361"/>
          </w:tcPr>
          <w:p>
            <w:pPr>
              <w:spacing w:before="40" w:after="40"/>
            </w:pPr>
            <w:r/>
            <w:r>
              <w:rPr>
                <w:rFonts w:ascii="Calibri" w:hAnsi="Calibri"/>
                <w:b w:val="0"/>
                <w:color w:val="1B231F"/>
                <w:sz w:val="19"/>
              </w:rPr>
              <w:t>Operativo</w:t>
            </w:r>
          </w:p>
        </w:tc>
      </w:tr>
      <w:tr>
        <w:tc>
          <w:tcPr>
            <w:tcW w:type="dxa" w:w="1474"/>
          </w:tcPr>
          <w:p>
            <w:pPr>
              <w:spacing w:before="40" w:after="40"/>
            </w:pPr>
            <w:r/>
            <w:r>
              <w:rPr>
                <w:rFonts w:ascii="Calibri" w:hAnsi="Calibri"/>
                <w:b/>
                <w:color w:val="1B231F"/>
                <w:sz w:val="19"/>
              </w:rPr>
              <w:t>J-4</w:t>
            </w:r>
          </w:p>
        </w:tc>
        <w:tc>
          <w:tcPr>
            <w:tcW w:type="dxa" w:w="4762"/>
          </w:tcPr>
          <w:p>
            <w:pPr>
              <w:spacing w:before="40" w:after="40"/>
            </w:pPr>
            <w:r/>
            <w:r>
              <w:rPr>
                <w:rFonts w:ascii="Calibri" w:hAnsi="Calibri"/>
                <w:b w:val="0"/>
                <w:color w:val="1B231F"/>
                <w:sz w:val="19"/>
              </w:rPr>
              <w:t>El designador lanza la propuesta automática</w:t>
            </w:r>
          </w:p>
        </w:tc>
        <w:tc>
          <w:tcPr>
            <w:tcW w:type="dxa" w:w="1474"/>
          </w:tcPr>
          <w:p>
            <w:pPr>
              <w:spacing w:before="40" w:after="40"/>
            </w:pPr>
            <w:r/>
            <w:r>
              <w:rPr>
                <w:rFonts w:ascii="Calibri" w:hAnsi="Calibri"/>
                <w:b w:val="0"/>
                <w:color w:val="1B231F"/>
                <w:sz w:val="19"/>
              </w:rPr>
              <w:t>Designador</w:t>
            </w:r>
          </w:p>
        </w:tc>
        <w:tc>
          <w:tcPr>
            <w:tcW w:type="dxa" w:w="1361"/>
          </w:tcPr>
          <w:p>
            <w:pPr>
              <w:spacing w:before="40" w:after="40"/>
            </w:pPr>
            <w:r/>
            <w:r>
              <w:rPr>
                <w:rFonts w:ascii="Calibri" w:hAnsi="Calibri"/>
                <w:b w:val="0"/>
                <w:color w:val="1B231F"/>
                <w:sz w:val="19"/>
              </w:rPr>
              <w:t>Operativo</w:t>
            </w:r>
          </w:p>
        </w:tc>
      </w:tr>
      <w:tr>
        <w:tc>
          <w:tcPr>
            <w:tcW w:type="dxa" w:w="1474"/>
          </w:tcPr>
          <w:p>
            <w:pPr>
              <w:spacing w:before="40" w:after="40"/>
            </w:pPr>
            <w:r/>
            <w:r>
              <w:rPr>
                <w:rFonts w:ascii="Calibri" w:hAnsi="Calibri"/>
                <w:b w:val="0"/>
                <w:color w:val="1B231F"/>
                <w:sz w:val="19"/>
              </w:rPr>
              <w:t>J-4 a J-3</w:t>
            </w:r>
          </w:p>
        </w:tc>
        <w:tc>
          <w:tcPr>
            <w:tcW w:type="dxa" w:w="4762"/>
          </w:tcPr>
          <w:p>
            <w:pPr>
              <w:spacing w:before="40" w:after="40"/>
            </w:pPr>
            <w:r/>
            <w:r>
              <w:rPr>
                <w:rFonts w:ascii="Calibri" w:hAnsi="Calibri"/>
                <w:b w:val="0"/>
                <w:color w:val="1B231F"/>
                <w:sz w:val="19"/>
              </w:rPr>
              <w:t>Revisión, ajustes manuales y verificación</w:t>
            </w:r>
          </w:p>
        </w:tc>
        <w:tc>
          <w:tcPr>
            <w:tcW w:type="dxa" w:w="1474"/>
          </w:tcPr>
          <w:p>
            <w:pPr>
              <w:spacing w:before="40" w:after="40"/>
            </w:pPr>
            <w:r/>
            <w:r>
              <w:rPr>
                <w:rFonts w:ascii="Calibri" w:hAnsi="Calibri"/>
                <w:b w:val="0"/>
                <w:color w:val="1B231F"/>
                <w:sz w:val="19"/>
              </w:rPr>
              <w:t>Designador</w:t>
            </w:r>
          </w:p>
        </w:tc>
        <w:tc>
          <w:tcPr>
            <w:tcW w:type="dxa" w:w="1361"/>
          </w:tcPr>
          <w:p>
            <w:pPr>
              <w:spacing w:before="40" w:after="40"/>
            </w:pPr>
            <w:r/>
            <w:r>
              <w:rPr>
                <w:rFonts w:ascii="Calibri" w:hAnsi="Calibri"/>
                <w:b w:val="0"/>
                <w:color w:val="1B231F"/>
                <w:sz w:val="19"/>
              </w:rPr>
              <w:t>Operativo</w:t>
            </w:r>
          </w:p>
        </w:tc>
      </w:tr>
      <w:tr>
        <w:tc>
          <w:tcPr>
            <w:tcW w:type="dxa" w:w="1474"/>
          </w:tcPr>
          <w:p>
            <w:pPr>
              <w:spacing w:before="40" w:after="40"/>
            </w:pPr>
            <w:r/>
            <w:r>
              <w:rPr>
                <w:rFonts w:ascii="Calibri" w:hAnsi="Calibri"/>
                <w:b/>
                <w:color w:val="1B231F"/>
                <w:sz w:val="19"/>
              </w:rPr>
              <w:t>J-3</w:t>
            </w:r>
          </w:p>
        </w:tc>
        <w:tc>
          <w:tcPr>
            <w:tcW w:type="dxa" w:w="4762"/>
          </w:tcPr>
          <w:p>
            <w:pPr>
              <w:spacing w:before="40" w:after="40"/>
            </w:pPr>
            <w:r/>
            <w:r>
              <w:rPr>
                <w:rFonts w:ascii="Calibri" w:hAnsi="Calibri"/>
                <w:b w:val="0"/>
                <w:color w:val="1B231F"/>
                <w:sz w:val="19"/>
              </w:rPr>
              <w:t>Publicación de las designaciones</w:t>
            </w:r>
          </w:p>
        </w:tc>
        <w:tc>
          <w:tcPr>
            <w:tcW w:type="dxa" w:w="1474"/>
          </w:tcPr>
          <w:p>
            <w:pPr>
              <w:spacing w:before="40" w:after="40"/>
            </w:pPr>
            <w:r/>
            <w:r>
              <w:rPr>
                <w:rFonts w:ascii="Calibri" w:hAnsi="Calibri"/>
                <w:b w:val="0"/>
                <w:color w:val="1B231F"/>
                <w:sz w:val="19"/>
              </w:rPr>
              <w:t>Designador</w:t>
            </w:r>
          </w:p>
        </w:tc>
        <w:tc>
          <w:tcPr>
            <w:tcW w:type="dxa" w:w="1361"/>
          </w:tcPr>
          <w:p>
            <w:pPr>
              <w:spacing w:before="40" w:after="40"/>
            </w:pPr>
            <w:r/>
            <w:r>
              <w:rPr>
                <w:rFonts w:ascii="Calibri" w:hAnsi="Calibri"/>
                <w:b w:val="0"/>
                <w:color w:val="1B231F"/>
                <w:sz w:val="19"/>
              </w:rPr>
              <w:t>Parcial</w:t>
            </w:r>
          </w:p>
        </w:tc>
      </w:tr>
      <w:tr>
        <w:tc>
          <w:tcPr>
            <w:tcW w:type="dxa" w:w="1474"/>
          </w:tcPr>
          <w:p>
            <w:pPr>
              <w:spacing w:before="40" w:after="40"/>
            </w:pPr>
            <w:r/>
            <w:r>
              <w:rPr>
                <w:rFonts w:ascii="Calibri" w:hAnsi="Calibri"/>
                <w:b w:val="0"/>
                <w:color w:val="1B231F"/>
                <w:sz w:val="19"/>
              </w:rPr>
              <w:t>J-3 a J-0</w:t>
            </w:r>
          </w:p>
        </w:tc>
        <w:tc>
          <w:tcPr>
            <w:tcW w:type="dxa" w:w="4762"/>
          </w:tcPr>
          <w:p>
            <w:pPr>
              <w:spacing w:before="40" w:after="40"/>
            </w:pPr>
            <w:r/>
            <w:r>
              <w:rPr>
                <w:rFonts w:ascii="Calibri" w:hAnsi="Calibri"/>
                <w:b w:val="0"/>
                <w:color w:val="1B231F"/>
                <w:sz w:val="19"/>
              </w:rPr>
              <w:t>Incidencias y sustituciones</w:t>
            </w:r>
          </w:p>
        </w:tc>
        <w:tc>
          <w:tcPr>
            <w:tcW w:type="dxa" w:w="1474"/>
          </w:tcPr>
          <w:p>
            <w:pPr>
              <w:spacing w:before="40" w:after="40"/>
            </w:pPr>
            <w:r/>
            <w:r>
              <w:rPr>
                <w:rFonts w:ascii="Calibri" w:hAnsi="Calibri"/>
                <w:b w:val="0"/>
                <w:color w:val="1B231F"/>
                <w:sz w:val="19"/>
              </w:rPr>
              <w:t>Designador</w:t>
            </w:r>
          </w:p>
        </w:tc>
        <w:tc>
          <w:tcPr>
            <w:tcW w:type="dxa" w:w="1361"/>
          </w:tcPr>
          <w:p>
            <w:pPr>
              <w:spacing w:before="40" w:after="40"/>
            </w:pPr>
            <w:r/>
            <w:r>
              <w:rPr>
                <w:rFonts w:ascii="Calibri" w:hAnsi="Calibri"/>
                <w:b w:val="0"/>
                <w:color w:val="1B231F"/>
                <w:sz w:val="19"/>
              </w:rPr>
              <w:t>Pendiente</w:t>
            </w:r>
          </w:p>
        </w:tc>
      </w:tr>
      <w:tr>
        <w:tc>
          <w:tcPr>
            <w:tcW w:type="dxa" w:w="1474"/>
          </w:tcPr>
          <w:p>
            <w:pPr>
              <w:spacing w:before="40" w:after="40"/>
            </w:pPr>
            <w:r/>
            <w:r>
              <w:rPr>
                <w:rFonts w:ascii="Calibri" w:hAnsi="Calibri"/>
                <w:b w:val="0"/>
                <w:color w:val="1B231F"/>
                <w:sz w:val="19"/>
              </w:rPr>
              <w:t>Mes cerrado</w:t>
            </w:r>
          </w:p>
        </w:tc>
        <w:tc>
          <w:tcPr>
            <w:tcW w:type="dxa" w:w="4762"/>
          </w:tcPr>
          <w:p>
            <w:pPr>
              <w:spacing w:before="40" w:after="40"/>
            </w:pPr>
            <w:r/>
            <w:r>
              <w:rPr>
                <w:rFonts w:ascii="Calibri" w:hAnsi="Calibri"/>
                <w:b w:val="0"/>
                <w:color w:val="1B231F"/>
                <w:sz w:val="19"/>
              </w:rPr>
              <w:t>Liquidación y envío a tesorería</w:t>
            </w:r>
          </w:p>
        </w:tc>
        <w:tc>
          <w:tcPr>
            <w:tcW w:type="dxa" w:w="1474"/>
          </w:tcPr>
          <w:p>
            <w:pPr>
              <w:spacing w:before="40" w:after="40"/>
            </w:pPr>
            <w:r/>
            <w:r>
              <w:rPr>
                <w:rFonts w:ascii="Calibri" w:hAnsi="Calibri"/>
                <w:b w:val="0"/>
                <w:color w:val="1B231F"/>
                <w:sz w:val="19"/>
              </w:rPr>
              <w:t>Designador</w:t>
            </w:r>
          </w:p>
        </w:tc>
        <w:tc>
          <w:tcPr>
            <w:tcW w:type="dxa" w:w="1361"/>
          </w:tcPr>
          <w:p>
            <w:pPr>
              <w:spacing w:before="40" w:after="40"/>
            </w:pPr>
            <w:r/>
            <w:r>
              <w:rPr>
                <w:rFonts w:ascii="Calibri" w:hAnsi="Calibri"/>
                <w:b w:val="0"/>
                <w:color w:val="1B231F"/>
                <w:sz w:val="19"/>
              </w:rPr>
              <w:t>Operativo</w:t>
            </w:r>
          </w:p>
        </w:tc>
      </w:tr>
    </w:tbl>
    <w:p/>
    <w:p>
      <w:pPr>
        <w:keepNext/>
        <w:spacing w:before="360" w:after="120"/>
      </w:pPr>
      <w:r>
        <w:rPr>
          <w:rFonts w:ascii="Georgia" w:hAnsi="Georgia"/>
          <w:b/>
          <w:color w:val="021C3C"/>
          <w:sz w:val="34"/>
        </w:rPr>
        <w:t>6. Detalle de los procesos</w:t>
      </w:r>
    </w:p>
    <w:p>
      <w:pPr>
        <w:keepNext/>
        <w:spacing w:before="240" w:after="120"/>
      </w:pPr>
      <w:r>
        <w:rPr>
          <w:rFonts w:ascii="Georgia" w:hAnsi="Georgia"/>
          <w:b/>
          <w:color w:val="021C3C"/>
          <w:sz w:val="27"/>
        </w:rPr>
        <w:t>P0 · Alta de temporada y catálogos</w:t>
      </w:r>
    </w:p>
    <w:p>
      <w:pPr>
        <w:spacing w:after="160"/>
      </w:pPr>
      <w:r>
        <w:rPr>
          <w:rFonts w:ascii="Calibri" w:hAnsi="Calibri"/>
          <w:b w:val="0"/>
          <w:i w:val="0"/>
          <w:color w:val="1B231F"/>
          <w:sz w:val="21"/>
        </w:rPr>
        <w:t>Se ejecuta una vez por temporada. El número de árbitros y oficiales de mesa de cada partido no lo decide el designador: sale de la Tabla A de las Bases Generales según la categoría.</w:t>
      </w:r>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Crear temporada y competiciones con sus requisitos</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Parcial</w:t>
            </w:r>
          </w:p>
        </w:tc>
      </w:tr>
      <w:tr>
        <w:tc>
          <w:tcPr>
            <w:tcW w:type="dxa" w:w="5669"/>
          </w:tcPr>
          <w:p>
            <w:pPr>
              <w:spacing w:before="40" w:after="40"/>
            </w:pPr>
            <w:r/>
            <w:r>
              <w:rPr>
                <w:rFonts w:ascii="Calibri" w:hAnsi="Calibri"/>
                <w:b w:val="0"/>
                <w:color w:val="1B231F"/>
                <w:sz w:val="19"/>
              </w:rPr>
              <w:t>Alta de pabellones con dirección y coordenadas</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Alta de personal: rol, nivel, dirección, vehículo, IBAN</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Declarar incompatibilidades con clubes</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Parcial</w:t>
            </w:r>
          </w:p>
        </w:tc>
      </w:tr>
      <w:tr>
        <w:tc>
          <w:tcPr>
            <w:tcW w:type="dxa" w:w="5669"/>
          </w:tcPr>
          <w:p>
            <w:pPr>
              <w:spacing w:before="40" w:after="40"/>
            </w:pPr>
            <w:r/>
            <w:r>
              <w:rPr>
                <w:rFonts w:ascii="Calibri" w:hAnsi="Calibri"/>
                <w:b w:val="0"/>
                <w:color w:val="1B231F"/>
                <w:sz w:val="19"/>
              </w:rPr>
              <w:t>Generar la matriz de distancias entre municipios</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Fijar parámetros: tarifas, fijos por día y carga máxima</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Parcial</w:t>
            </w:r>
          </w:p>
        </w:tc>
      </w:tr>
    </w:tbl>
    <w:p/>
    <w:p>
      <w:pPr>
        <w:keepNext/>
        <w:spacing w:before="240" w:after="120"/>
      </w:pPr>
      <w:r>
        <w:rPr>
          <w:rFonts w:ascii="Georgia" w:hAnsi="Georgia"/>
          <w:b/>
          <w:color w:val="021C3C"/>
          <w:sz w:val="27"/>
        </w:rPr>
        <w:t>P1 · Importación de partidos</w:t>
      </w:r>
    </w:p>
    <w:p>
      <w:pPr>
        <w:spacing w:after="160"/>
      </w:pPr>
      <w:r>
        <w:rPr>
          <w:rFonts w:ascii="Calibri" w:hAnsi="Calibri"/>
          <w:b w:val="0"/>
          <w:i w:val="0"/>
          <w:color w:val="1B231F"/>
          <w:sz w:val="21"/>
        </w:rPr>
        <w:t>Entrada por fichero oficial de competición, con validación y vista previa antes de confirmar. La sincronización automática con el sistema de competición queda pendiente de que la federación facilite un acceso directo.</w:t>
      </w:r>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Subida del fichero de la jornada (CSV oficial, XLSX o calendario)</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Validación: pabellón conocido, categoría conocida, fecha válida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Vista previa con incidencias antes de confirmar el alta</w:t>
            </w:r>
          </w:p>
        </w:tc>
        <w:tc>
          <w:tcPr>
            <w:tcW w:type="dxa" w:w="1984"/>
          </w:tcPr>
          <w:p>
            <w:pPr>
              <w:spacing w:before="40" w:after="40"/>
            </w:pPr>
            <w:r/>
            <w:r>
              <w:rPr>
                <w:rFonts w:ascii="Calibri" w:hAnsi="Calibri"/>
                <w:b w:val="0"/>
                <w:color w:val="1B231F"/>
                <w:sz w:val="19"/>
              </w:rPr>
              <w:t>Admin FBM</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Deducción de la plantilla arbitral según la categoría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Sincronización automática con competición</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Pendiente</w:t>
            </w:r>
          </w:p>
        </w:tc>
      </w:tr>
    </w:tbl>
    <w:p/>
    <w:p>
      <w:pPr>
        <w:keepNext/>
        <w:spacing w:before="240" w:after="120"/>
      </w:pPr>
      <w:r>
        <w:rPr>
          <w:rFonts w:ascii="Georgia" w:hAnsi="Georgia"/>
          <w:b/>
          <w:color w:val="021C3C"/>
          <w:sz w:val="27"/>
        </w:rPr>
        <w:t>P2 · Recogida de disponibilidad</w:t>
      </w:r>
    </w:p>
    <w:p>
      <w:pPr>
        <w:spacing w:after="160"/>
      </w:pPr>
      <w:r>
        <w:rPr>
          <w:rFonts w:ascii="Calibri" w:hAnsi="Calibri"/>
          <w:b w:val="0"/>
          <w:i w:val="0"/>
          <w:color w:val="1B231F"/>
          <w:sz w:val="21"/>
        </w:rPr>
        <w:t>Es hoy el principal limitador de la cobertura. En las simulaciones, el motivo dominante de los puestos que quedan sin cubrir es la falta de disponibilidad declarada, muy por encima de la carga máxima o del nivel arbitral.</w:t>
      </w:r>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Cálculo de la ventana de declaración según categoría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Aviso de apertura por correo electrónico</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Parcial</w:t>
            </w:r>
          </w:p>
        </w:tc>
      </w:tr>
      <w:tr>
        <w:tc>
          <w:tcPr>
            <w:tcW w:type="dxa" w:w="5669"/>
          </w:tcPr>
          <w:p>
            <w:pPr>
              <w:spacing w:before="40" w:after="40"/>
            </w:pPr>
            <w:r/>
            <w:r>
              <w:rPr>
                <w:rFonts w:ascii="Calibri" w:hAnsi="Calibri"/>
                <w:b w:val="0"/>
                <w:color w:val="1B231F"/>
                <w:sz w:val="19"/>
              </w:rPr>
              <w:t>Declaración de franjas en el portal</w:t>
            </w:r>
          </w:p>
        </w:tc>
        <w:tc>
          <w:tcPr>
            <w:tcW w:type="dxa" w:w="1984"/>
          </w:tcPr>
          <w:p>
            <w:pPr>
              <w:spacing w:before="40" w:after="40"/>
            </w:pPr>
            <w:r/>
            <w:r>
              <w:rPr>
                <w:rFonts w:ascii="Calibri" w:hAnsi="Calibri"/>
                <w:b w:val="0"/>
                <w:color w:val="1B231F"/>
                <w:sz w:val="19"/>
              </w:rPr>
              <w:t>Árbitro / mesa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Recordatorio filtrado por rol y categoría</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Parcial</w:t>
            </w:r>
          </w:p>
        </w:tc>
      </w:tr>
      <w:tr>
        <w:tc>
          <w:tcPr>
            <w:tcW w:type="dxa" w:w="5669"/>
          </w:tcPr>
          <w:p>
            <w:pPr>
              <w:spacing w:before="40" w:after="40"/>
            </w:pPr>
            <w:r/>
            <w:r>
              <w:rPr>
                <w:rFonts w:ascii="Calibri" w:hAnsi="Calibri"/>
                <w:b w:val="0"/>
                <w:color w:val="1B231F"/>
                <w:sz w:val="19"/>
              </w:rPr>
              <w:t>Cierre de la ventana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Notificación push al móvil</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Pendiente</w:t>
            </w:r>
          </w:p>
        </w:tc>
      </w:tr>
    </w:tbl>
    <w:p/>
    <w:p>
      <w:pPr>
        <w:spacing w:after="160"/>
      </w:pPr>
      <w:r>
        <w:rPr>
          <w:rFonts w:ascii="Calibri" w:hAnsi="Calibri"/>
          <w:b w:val="0"/>
          <w:i/>
          <w:color w:val="4B564F"/>
          <w:sz w:val="20"/>
        </w:rPr>
        <w:t>Los avisos por correo están integrados y funcionan, pero hoy se disparan manualmente desde el panel. Falta el disparo automático por calendario.</w:t>
      </w:r>
    </w:p>
    <w:p>
      <w:pPr>
        <w:keepNext/>
        <w:spacing w:before="240" w:after="120"/>
      </w:pPr>
      <w:r>
        <w:rPr>
          <w:rFonts w:ascii="Georgia" w:hAnsi="Georgia"/>
          <w:b/>
          <w:color w:val="021C3C"/>
          <w:sz w:val="27"/>
        </w:rPr>
        <w:t>P3 a P5 · Designación: propuesta, ajuste y publicación</w:t>
      </w:r>
    </w:p>
    <w:p>
      <w:pPr>
        <w:jc w:val="center"/>
      </w:pPr>
      <w:r>
        <w:drawing>
          <wp:inline xmlns:a="http://schemas.openxmlformats.org/drawingml/2006/main" xmlns:pic="http://schemas.openxmlformats.org/drawingml/2006/picture">
            <wp:extent cx="5832000" cy="2332800"/>
            <wp:docPr id="4" name="Picture 4"/>
            <wp:cNvGraphicFramePr>
              <a:graphicFrameLocks noChangeAspect="1"/>
            </wp:cNvGraphicFramePr>
            <a:graphic>
              <a:graphicData uri="http://schemas.openxmlformats.org/drawingml/2006/picture">
                <pic:pic>
                  <pic:nvPicPr>
                    <pic:cNvPr id="0" name="diag-nucleo.png"/>
                    <pic:cNvPicPr/>
                  </pic:nvPicPr>
                  <pic:blipFill>
                    <a:blip r:embed="rId13"/>
                    <a:stretch>
                      <a:fillRect/>
                    </a:stretch>
                  </pic:blipFill>
                  <pic:spPr>
                    <a:xfrm>
                      <a:off x="0" y="0"/>
                      <a:ext cx="5832000" cy="2332800"/>
                    </a:xfrm>
                    <a:prstGeom prst="rect"/>
                  </pic:spPr>
                </pic:pic>
              </a:graphicData>
            </a:graphic>
          </wp:inline>
        </w:drawing>
      </w:r>
    </w:p>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Acotar automáticamente a la jornada viernes-jueves</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Filtrar candidatos válidos para cada puesto</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Optimizar coste de desplazamiento y equilibrio de carga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Generar hasta cinco propuestas alternativas</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Ajuste manual puesto a puesto, con coste y carga a la vista</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Verificación previa: huecos, solapamientos justos, sobrecargas</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Publicación de las designaciones</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Envío del aviso a cada persona designada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Pendiente</w:t>
            </w:r>
          </w:p>
        </w:tc>
      </w:tr>
      <w:tr>
        <w:tc>
          <w:tcPr>
            <w:tcW w:type="dxa" w:w="5669"/>
          </w:tcPr>
          <w:p>
            <w:pPr>
              <w:spacing w:before="40" w:after="40"/>
            </w:pPr>
            <w:r/>
            <w:r>
              <w:rPr>
                <w:rFonts w:ascii="Calibri" w:hAnsi="Calibri"/>
                <w:b w:val="0"/>
                <w:color w:val="1B231F"/>
                <w:sz w:val="19"/>
              </w:rPr>
              <w:t>Confirmación de la designación por el oficial</w:t>
            </w:r>
          </w:p>
        </w:tc>
        <w:tc>
          <w:tcPr>
            <w:tcW w:type="dxa" w:w="1984"/>
          </w:tcPr>
          <w:p>
            <w:pPr>
              <w:spacing w:before="40" w:after="40"/>
            </w:pPr>
            <w:r/>
            <w:r>
              <w:rPr>
                <w:rFonts w:ascii="Calibri" w:hAnsi="Calibri"/>
                <w:b w:val="0"/>
                <w:color w:val="1B231F"/>
                <w:sz w:val="19"/>
              </w:rPr>
              <w:t>Árbitro / mesa</w:t>
            </w:r>
          </w:p>
        </w:tc>
        <w:tc>
          <w:tcPr>
            <w:tcW w:type="dxa" w:w="1417"/>
          </w:tcPr>
          <w:p>
            <w:pPr>
              <w:spacing w:before="40" w:after="40"/>
            </w:pPr>
            <w:r/>
            <w:r>
              <w:rPr>
                <w:rFonts w:ascii="Calibri" w:hAnsi="Calibri"/>
                <w:b w:val="0"/>
                <w:color w:val="1B231F"/>
                <w:sz w:val="19"/>
              </w:rPr>
              <w:t>Parcial</w:t>
            </w:r>
          </w:p>
        </w:tc>
      </w:tr>
    </w:tbl>
    <w:p/>
    <w:p>
      <w:pPr>
        <w:keepNext/>
        <w:spacing w:before="240" w:after="120"/>
      </w:pPr>
      <w:r>
        <w:rPr>
          <w:rFonts w:ascii="Georgia" w:hAnsi="Georgia"/>
          <w:b/>
          <w:color w:val="C4242F"/>
          <w:sz w:val="23"/>
        </w:rPr>
        <w:t>Reglas que aplica el sistema al designar</w:t>
      </w:r>
    </w:p>
    <w:p>
      <w:pPr>
        <w:spacing w:after="160"/>
      </w:pPr>
      <w:r>
        <w:rPr>
          <w:rFonts w:ascii="Calibri" w:hAnsi="Calibri"/>
          <w:b w:val="0"/>
          <w:i w:val="0"/>
          <w:color w:val="1B231F"/>
          <w:sz w:val="21"/>
        </w:rPr>
        <w:t>Las reglas duras nunca se incumplen: una persona que no las satisface queda descartada para ese puesto. Las reglas blandas orientan la elección entre candidatos válidos.</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color="auto" w:fill="C4242F"/>
          </w:tcPr>
          <w:p>
            <w:pPr>
              <w:spacing w:before="40" w:after="40"/>
            </w:pPr>
            <w:r/>
            <w:r>
              <w:rPr>
                <w:rFonts w:ascii="Calibri" w:hAnsi="Calibri"/>
                <w:b/>
                <w:color w:val="FFFFFF"/>
                <w:sz w:val="19"/>
              </w:rPr>
              <w:t>Regla</w:t>
            </w:r>
          </w:p>
        </w:tc>
        <w:tc>
          <w:tcPr>
            <w:tcW w:type="dxa" w:w="5896"/>
            <w:shd w:val="clear" w:color="auto" w:fill="C4242F"/>
          </w:tcPr>
          <w:p>
            <w:pPr>
              <w:spacing w:before="40" w:after="40"/>
            </w:pPr>
            <w:r/>
            <w:r>
              <w:rPr>
                <w:rFonts w:ascii="Calibri" w:hAnsi="Calibri"/>
                <w:b/>
                <w:color w:val="FFFFFF"/>
                <w:sz w:val="19"/>
              </w:rPr>
              <w:t>Contenido</w:t>
            </w:r>
          </w:p>
        </w:tc>
        <w:tc>
          <w:tcPr>
            <w:tcW w:type="dxa" w:w="1134"/>
            <w:shd w:val="clear" w:color="auto" w:fill="C4242F"/>
          </w:tcPr>
          <w:p>
            <w:pPr>
              <w:spacing w:before="40" w:after="40"/>
            </w:pPr>
            <w:r/>
            <w:r>
              <w:rPr>
                <w:rFonts w:ascii="Calibri" w:hAnsi="Calibri"/>
                <w:b/>
                <w:color w:val="FFFFFF"/>
                <w:sz w:val="19"/>
              </w:rPr>
              <w:t>Tipo</w:t>
            </w:r>
          </w:p>
        </w:tc>
      </w:tr>
      <w:tr>
        <w:tc>
          <w:tcPr>
            <w:tcW w:type="dxa" w:w="2041"/>
          </w:tcPr>
          <w:p>
            <w:pPr>
              <w:spacing w:before="40" w:after="40"/>
            </w:pPr>
            <w:r/>
            <w:r>
              <w:rPr>
                <w:rFonts w:ascii="Calibri" w:hAnsi="Calibri"/>
                <w:b w:val="0"/>
                <w:color w:val="1B231F"/>
                <w:sz w:val="19"/>
              </w:rPr>
              <w:t>Cobertura</w:t>
            </w:r>
          </w:p>
        </w:tc>
        <w:tc>
          <w:tcPr>
            <w:tcW w:type="dxa" w:w="5896"/>
          </w:tcPr>
          <w:p>
            <w:pPr>
              <w:spacing w:before="40" w:after="40"/>
            </w:pPr>
            <w:r/>
            <w:r>
              <w:rPr>
                <w:rFonts w:ascii="Calibri" w:hAnsi="Calibri"/>
                <w:b w:val="0"/>
                <w:color w:val="1B231F"/>
                <w:sz w:val="19"/>
              </w:rPr>
              <w:t>Cada partido lleva el número de árbitros y de mesa que fijan las Bases</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Disponibilidad</w:t>
            </w:r>
          </w:p>
        </w:tc>
        <w:tc>
          <w:tcPr>
            <w:tcW w:type="dxa" w:w="5896"/>
          </w:tcPr>
          <w:p>
            <w:pPr>
              <w:spacing w:before="40" w:after="40"/>
            </w:pPr>
            <w:r/>
            <w:r>
              <w:rPr>
                <w:rFonts w:ascii="Calibri" w:hAnsi="Calibri"/>
                <w:b w:val="0"/>
                <w:color w:val="1B231F"/>
                <w:sz w:val="19"/>
              </w:rPr>
              <w:t>Solo se designa a quien declaró esa franja</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Nivel arbitral</w:t>
            </w:r>
          </w:p>
        </w:tc>
        <w:tc>
          <w:tcPr>
            <w:tcW w:type="dxa" w:w="5896"/>
          </w:tcPr>
          <w:p>
            <w:pPr>
              <w:spacing w:before="40" w:after="40"/>
            </w:pPr>
            <w:r/>
            <w:r>
              <w:rPr>
                <w:rFonts w:ascii="Calibri" w:hAnsi="Calibri"/>
                <w:b w:val="0"/>
                <w:color w:val="1B231F"/>
                <w:sz w:val="19"/>
              </w:rPr>
              <w:t>Matriz de elegibilidad por categoría del partido y tipo de puesto</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Carga máxima</w:t>
            </w:r>
          </w:p>
        </w:tc>
        <w:tc>
          <w:tcPr>
            <w:tcW w:type="dxa" w:w="5896"/>
          </w:tcPr>
          <w:p>
            <w:pPr>
              <w:spacing w:before="40" w:after="40"/>
            </w:pPr>
            <w:r/>
            <w:r>
              <w:rPr>
                <w:rFonts w:ascii="Calibri" w:hAnsi="Calibri"/>
                <w:b w:val="0"/>
                <w:color w:val="1B231F"/>
                <w:sz w:val="19"/>
              </w:rPr>
              <w:t>Tres partidos por franja: sábado y domingo, mañana y tarde, y entresemana</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Separación mínima</w:t>
            </w:r>
          </w:p>
        </w:tc>
        <w:tc>
          <w:tcPr>
            <w:tcW w:type="dxa" w:w="5896"/>
          </w:tcPr>
          <w:p>
            <w:pPr>
              <w:spacing w:before="40" w:after="40"/>
            </w:pPr>
            <w:r/>
            <w:r>
              <w:rPr>
                <w:rFonts w:ascii="Calibri" w:hAnsi="Calibri"/>
                <w:b w:val="0"/>
                <w:color w:val="1B231F"/>
                <w:sz w:val="19"/>
              </w:rPr>
              <w:t>Entre inicios: 1h30 mismo pabellón, 2h mismo municipio, 2h30 municipios distintos</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Tiempo de viaje</w:t>
            </w:r>
          </w:p>
        </w:tc>
        <w:tc>
          <w:tcPr>
            <w:tcW w:type="dxa" w:w="5896"/>
          </w:tcPr>
          <w:p>
            <w:pPr>
              <w:spacing w:before="40" w:after="40"/>
            </w:pPr>
            <w:r/>
            <w:r>
              <w:rPr>
                <w:rFonts w:ascii="Calibri" w:hAnsi="Calibri"/>
                <w:b w:val="0"/>
                <w:color w:val="1B231F"/>
                <w:sz w:val="19"/>
              </w:rPr>
              <w:t>Si el desplazamiento estimado más 30 minutos exige más margen, manda el viaje</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Vehículo</w:t>
            </w:r>
          </w:p>
        </w:tc>
        <w:tc>
          <w:tcPr>
            <w:tcW w:type="dxa" w:w="5896"/>
          </w:tcPr>
          <w:p>
            <w:pPr>
              <w:spacing w:before="40" w:after="40"/>
            </w:pPr>
            <w:r/>
            <w:r>
              <w:rPr>
                <w:rFonts w:ascii="Calibri" w:hAnsi="Calibri"/>
                <w:b w:val="0"/>
                <w:color w:val="1B231F"/>
                <w:sz w:val="19"/>
              </w:rPr>
              <w:t>Sin coche y más de 30 km, descartado; entre 15 y 30 km, penalizado</w:t>
            </w:r>
          </w:p>
        </w:tc>
        <w:tc>
          <w:tcPr>
            <w:tcW w:type="dxa" w:w="1134"/>
          </w:tcPr>
          <w:p>
            <w:pPr>
              <w:spacing w:before="40" w:after="40"/>
            </w:pPr>
            <w:r/>
            <w:r>
              <w:rPr>
                <w:rFonts w:ascii="Calibri" w:hAnsi="Calibri"/>
                <w:b w:val="0"/>
                <w:color w:val="1B231F"/>
                <w:sz w:val="19"/>
              </w:rPr>
              <w:t>Dura y blanda</w:t>
            </w:r>
          </w:p>
        </w:tc>
      </w:tr>
      <w:tr>
        <w:tc>
          <w:tcPr>
            <w:tcW w:type="dxa" w:w="2041"/>
          </w:tcPr>
          <w:p>
            <w:pPr>
              <w:spacing w:before="40" w:after="40"/>
            </w:pPr>
            <w:r/>
            <w:r>
              <w:rPr>
                <w:rFonts w:ascii="Calibri" w:hAnsi="Calibri"/>
                <w:b w:val="0"/>
                <w:color w:val="1B231F"/>
                <w:sz w:val="19"/>
              </w:rPr>
              <w:t>Incompatibilidad</w:t>
            </w:r>
          </w:p>
        </w:tc>
        <w:tc>
          <w:tcPr>
            <w:tcW w:type="dxa" w:w="5896"/>
          </w:tcPr>
          <w:p>
            <w:pPr>
              <w:spacing w:before="40" w:after="40"/>
            </w:pPr>
            <w:r/>
            <w:r>
              <w:rPr>
                <w:rFonts w:ascii="Calibri" w:hAnsi="Calibri"/>
                <w:b w:val="0"/>
                <w:color w:val="1B231F"/>
                <w:sz w:val="19"/>
              </w:rPr>
              <w:t>No se designa a un partido del club propio</w:t>
            </w:r>
          </w:p>
        </w:tc>
        <w:tc>
          <w:tcPr>
            <w:tcW w:type="dxa" w:w="1134"/>
          </w:tcPr>
          <w:p>
            <w:pPr>
              <w:spacing w:before="40" w:after="40"/>
            </w:pPr>
            <w:r/>
            <w:r>
              <w:rPr>
                <w:rFonts w:ascii="Calibri" w:hAnsi="Calibri"/>
                <w:b w:val="0"/>
                <w:color w:val="1B231F"/>
                <w:sz w:val="19"/>
              </w:rPr>
              <w:t>Dura</w:t>
            </w:r>
          </w:p>
        </w:tc>
      </w:tr>
      <w:tr>
        <w:tc>
          <w:tcPr>
            <w:tcW w:type="dxa" w:w="2041"/>
          </w:tcPr>
          <w:p>
            <w:pPr>
              <w:spacing w:before="40" w:after="40"/>
            </w:pPr>
            <w:r/>
            <w:r>
              <w:rPr>
                <w:rFonts w:ascii="Calibri" w:hAnsi="Calibri"/>
                <w:b w:val="0"/>
                <w:color w:val="1B231F"/>
                <w:sz w:val="19"/>
              </w:rPr>
              <w:t>Coste</w:t>
            </w:r>
          </w:p>
        </w:tc>
        <w:tc>
          <w:tcPr>
            <w:tcW w:type="dxa" w:w="5896"/>
          </w:tcPr>
          <w:p>
            <w:pPr>
              <w:spacing w:before="40" w:after="40"/>
            </w:pPr>
            <w:r/>
            <w:r>
              <w:rPr>
                <w:rFonts w:ascii="Calibri" w:hAnsi="Calibri"/>
                <w:b w:val="0"/>
                <w:color w:val="1B231F"/>
                <w:sz w:val="19"/>
              </w:rPr>
              <w:t>Se minimiza el coste por persona y día, no por partido</w:t>
            </w:r>
          </w:p>
        </w:tc>
        <w:tc>
          <w:tcPr>
            <w:tcW w:type="dxa" w:w="1134"/>
          </w:tcPr>
          <w:p>
            <w:pPr>
              <w:spacing w:before="40" w:after="40"/>
            </w:pPr>
            <w:r/>
            <w:r>
              <w:rPr>
                <w:rFonts w:ascii="Calibri" w:hAnsi="Calibri"/>
                <w:b w:val="0"/>
                <w:color w:val="1B231F"/>
                <w:sz w:val="19"/>
              </w:rPr>
              <w:t>Objetivo</w:t>
            </w:r>
          </w:p>
        </w:tc>
      </w:tr>
      <w:tr>
        <w:tc>
          <w:tcPr>
            <w:tcW w:type="dxa" w:w="2041"/>
          </w:tcPr>
          <w:p>
            <w:pPr>
              <w:spacing w:before="40" w:after="40"/>
            </w:pPr>
            <w:r/>
            <w:r>
              <w:rPr>
                <w:rFonts w:ascii="Calibri" w:hAnsi="Calibri"/>
                <w:b w:val="0"/>
                <w:color w:val="1B231F"/>
                <w:sz w:val="19"/>
              </w:rPr>
              <w:t>Pareja de titulares</w:t>
            </w:r>
          </w:p>
        </w:tc>
        <w:tc>
          <w:tcPr>
            <w:tcW w:type="dxa" w:w="5896"/>
          </w:tcPr>
          <w:p>
            <w:pPr>
              <w:spacing w:before="40" w:after="40"/>
            </w:pPr>
            <w:r/>
            <w:r>
              <w:rPr>
                <w:rFonts w:ascii="Calibri" w:hAnsi="Calibri"/>
                <w:b w:val="0"/>
                <w:color w:val="1B231F"/>
                <w:sz w:val="19"/>
              </w:rPr>
              <w:t>Se prefiere que el segundo árbitro sea también titular de la categoría</w:t>
            </w:r>
          </w:p>
        </w:tc>
        <w:tc>
          <w:tcPr>
            <w:tcW w:type="dxa" w:w="1134"/>
          </w:tcPr>
          <w:p>
            <w:pPr>
              <w:spacing w:before="40" w:after="40"/>
            </w:pPr>
            <w:r/>
            <w:r>
              <w:rPr>
                <w:rFonts w:ascii="Calibri" w:hAnsi="Calibri"/>
                <w:b w:val="0"/>
                <w:color w:val="1B231F"/>
                <w:sz w:val="19"/>
              </w:rPr>
              <w:t>Blanda</w:t>
            </w:r>
          </w:p>
        </w:tc>
      </w:tr>
    </w:tbl>
    <w:p/>
    <w:p>
      <w:pPr>
        <w:keepNext/>
        <w:spacing w:before="240" w:after="120"/>
      </w:pPr>
      <w:r>
        <w:rPr>
          <w:rFonts w:ascii="Georgia" w:hAnsi="Georgia"/>
          <w:b/>
          <w:color w:val="C4242F"/>
          <w:sz w:val="23"/>
        </w:rPr>
        <w:t>Cómo se calcula el coste de desplazamiento</w:t>
      </w:r>
    </w:p>
    <w:p>
      <w:pPr>
        <w:spacing w:after="160"/>
      </w:pPr>
      <w:r>
        <w:rPr>
          <w:rFonts w:ascii="Calibri" w:hAnsi="Calibri"/>
          <w:b w:val="0"/>
          <w:i w:val="0"/>
          <w:color w:val="1B231F"/>
          <w:sz w:val="21"/>
        </w:rPr>
        <w:t>El coste es por persona y día, no por partido. Un día con salida a otro municipio paga solo kilometraje, a razón de 0,26 € por kilómetro y un trayecto por cada municipio de destino distinto. Un día íntegro en el municipio propio paga un fijo diario de 3 € en Madrid capital y 2 € en el resto, con independencia de cuántos partidos se arbitren ese día. A ese importe se suman los honorarios oficiales, que dependen de la categoría del partido y del puesto, nunca del nivel del árbitro designado.</w:t>
      </w:r>
    </w:p>
    <w:p>
      <w:pPr>
        <w:keepNext/>
        <w:spacing w:before="240" w:after="120"/>
      </w:pPr>
      <w:r>
        <w:rPr>
          <w:rFonts w:ascii="Georgia" w:hAnsi="Georgia"/>
          <w:b/>
          <w:color w:val="C4242F"/>
          <w:sz w:val="23"/>
        </w:rPr>
        <w:t>Indicadores medidos</w:t>
      </w:r>
    </w:p>
    <w:tbl>
      <w:tblPr>
        <w:tblStyle w:val="TableGrid"/>
        <w:tblW w:type="auto" w:w="0"/>
        <w:jc w:val="center"/>
        <w:tblLook w:firstColumn="1" w:firstRow="1" w:lastColumn="0" w:lastRow="0" w:noHBand="0" w:noVBand="1" w:val="04A0"/>
      </w:tblPr>
      <w:tblGrid>
        <w:gridCol w:w="4759"/>
        <w:gridCol w:w="4759"/>
      </w:tblGrid>
      <w:tr>
        <w:tc>
          <w:tcPr>
            <w:tcW w:type="dxa" w:w="5669"/>
            <w:shd w:val="clear" w:color="auto" w:fill="C4242F"/>
          </w:tcPr>
          <w:p>
            <w:pPr>
              <w:spacing w:before="40" w:after="40"/>
            </w:pPr>
            <w:r/>
            <w:r>
              <w:rPr>
                <w:rFonts w:ascii="Calibri" w:hAnsi="Calibri"/>
                <w:b/>
                <w:color w:val="FFFFFF"/>
                <w:sz w:val="19"/>
              </w:rPr>
              <w:t>Indicador</w:t>
            </w:r>
          </w:p>
        </w:tc>
        <w:tc>
          <w:tcPr>
            <w:tcW w:type="dxa" w:w="3402"/>
            <w:shd w:val="clear" w:color="auto" w:fill="C4242F"/>
          </w:tcPr>
          <w:p>
            <w:pPr>
              <w:spacing w:before="40" w:after="40"/>
            </w:pPr>
            <w:r/>
            <w:r>
              <w:rPr>
                <w:rFonts w:ascii="Calibri" w:hAnsi="Calibri"/>
                <w:b/>
                <w:color w:val="FFFFFF"/>
                <w:sz w:val="19"/>
              </w:rPr>
              <w:t>Resultado</w:t>
            </w:r>
          </w:p>
        </w:tc>
      </w:tr>
      <w:tr>
        <w:tc>
          <w:tcPr>
            <w:tcW w:type="dxa" w:w="5669"/>
          </w:tcPr>
          <w:p>
            <w:pPr>
              <w:spacing w:before="40" w:after="40"/>
            </w:pPr>
            <w:r/>
            <w:r>
              <w:rPr>
                <w:rFonts w:ascii="Calibri" w:hAnsi="Calibri"/>
                <w:b w:val="0"/>
                <w:color w:val="1B231F"/>
                <w:sz w:val="19"/>
              </w:rPr>
              <w:t>Cobertura media de la temporada</w:t>
            </w:r>
          </w:p>
        </w:tc>
        <w:tc>
          <w:tcPr>
            <w:tcW w:type="dxa" w:w="3402"/>
          </w:tcPr>
          <w:p>
            <w:pPr>
              <w:spacing w:before="40" w:after="40"/>
            </w:pPr>
            <w:r/>
            <w:r>
              <w:rPr>
                <w:rFonts w:ascii="Calibri" w:hAnsi="Calibri"/>
                <w:b w:val="0"/>
                <w:color w:val="1B231F"/>
                <w:sz w:val="19"/>
              </w:rPr>
              <w:t>87 % de los puestos</w:t>
            </w:r>
          </w:p>
        </w:tc>
      </w:tr>
      <w:tr>
        <w:tc>
          <w:tcPr>
            <w:tcW w:type="dxa" w:w="5669"/>
          </w:tcPr>
          <w:p>
            <w:pPr>
              <w:spacing w:before="40" w:after="40"/>
            </w:pPr>
            <w:r/>
            <w:r>
              <w:rPr>
                <w:rFonts w:ascii="Calibri" w:hAnsi="Calibri"/>
                <w:b w:val="0"/>
                <w:color w:val="1B231F"/>
                <w:sz w:val="19"/>
              </w:rPr>
              <w:t>Jornada más exigente (1.309 partidos, 3.686 puestos)</w:t>
            </w:r>
          </w:p>
        </w:tc>
        <w:tc>
          <w:tcPr>
            <w:tcW w:type="dxa" w:w="3402"/>
          </w:tcPr>
          <w:p>
            <w:pPr>
              <w:spacing w:before="40" w:after="40"/>
            </w:pPr>
            <w:r/>
            <w:r>
              <w:rPr>
                <w:rFonts w:ascii="Calibri" w:hAnsi="Calibri"/>
                <w:b w:val="0"/>
                <w:color w:val="1B231F"/>
                <w:sz w:val="19"/>
              </w:rPr>
              <w:t>81 % de los puestos</w:t>
            </w:r>
          </w:p>
        </w:tc>
      </w:tr>
      <w:tr>
        <w:tc>
          <w:tcPr>
            <w:tcW w:type="dxa" w:w="5669"/>
          </w:tcPr>
          <w:p>
            <w:pPr>
              <w:spacing w:before="40" w:after="40"/>
            </w:pPr>
            <w:r/>
            <w:r>
              <w:rPr>
                <w:rFonts w:ascii="Calibri" w:hAnsi="Calibri"/>
                <w:b w:val="0"/>
                <w:color w:val="1B231F"/>
                <w:sz w:val="19"/>
              </w:rPr>
              <w:t>Tiempo de cálculo de una jornada punta</w:t>
            </w:r>
          </w:p>
        </w:tc>
        <w:tc>
          <w:tcPr>
            <w:tcW w:type="dxa" w:w="3402"/>
          </w:tcPr>
          <w:p>
            <w:pPr>
              <w:spacing w:before="40" w:after="40"/>
            </w:pPr>
            <w:r/>
            <w:r>
              <w:rPr>
                <w:rFonts w:ascii="Calibri" w:hAnsi="Calibri"/>
                <w:b w:val="0"/>
                <w:color w:val="1B231F"/>
                <w:sz w:val="19"/>
              </w:rPr>
              <w:t>18 segundos de mediana</w:t>
            </w:r>
          </w:p>
        </w:tc>
      </w:tr>
      <w:tr>
        <w:tc>
          <w:tcPr>
            <w:tcW w:type="dxa" w:w="5669"/>
          </w:tcPr>
          <w:p>
            <w:pPr>
              <w:spacing w:before="40" w:after="40"/>
            </w:pPr>
            <w:r/>
            <w:r>
              <w:rPr>
                <w:rFonts w:ascii="Calibri" w:hAnsi="Calibri"/>
                <w:b w:val="0"/>
                <w:color w:val="1B231F"/>
                <w:sz w:val="19"/>
              </w:rPr>
              <w:t>Peor tiempo observado en una jornada</w:t>
            </w:r>
          </w:p>
        </w:tc>
        <w:tc>
          <w:tcPr>
            <w:tcW w:type="dxa" w:w="3402"/>
          </w:tcPr>
          <w:p>
            <w:pPr>
              <w:spacing w:before="40" w:after="40"/>
            </w:pPr>
            <w:r/>
            <w:r>
              <w:rPr>
                <w:rFonts w:ascii="Calibri" w:hAnsi="Calibri"/>
                <w:b w:val="0"/>
                <w:color w:val="1B231F"/>
                <w:sz w:val="19"/>
              </w:rPr>
              <w:t>25 segundos</w:t>
            </w:r>
          </w:p>
        </w:tc>
      </w:tr>
      <w:tr>
        <w:tc>
          <w:tcPr>
            <w:tcW w:type="dxa" w:w="5669"/>
          </w:tcPr>
          <w:p>
            <w:pPr>
              <w:spacing w:before="40" w:after="40"/>
            </w:pPr>
            <w:r/>
            <w:r>
              <w:rPr>
                <w:rFonts w:ascii="Calibri" w:hAnsi="Calibri"/>
                <w:b w:val="0"/>
                <w:color w:val="1B231F"/>
                <w:sz w:val="19"/>
              </w:rPr>
              <w:t>Coste de desplazamiento de la temporada completa</w:t>
            </w:r>
          </w:p>
        </w:tc>
        <w:tc>
          <w:tcPr>
            <w:tcW w:type="dxa" w:w="3402"/>
          </w:tcPr>
          <w:p>
            <w:pPr>
              <w:spacing w:before="40" w:after="40"/>
            </w:pPr>
            <w:r/>
            <w:r>
              <w:rPr>
                <w:rFonts w:ascii="Calibri" w:hAnsi="Calibri"/>
                <w:b w:val="0"/>
                <w:color w:val="1B231F"/>
                <w:sz w:val="19"/>
              </w:rPr>
              <w:t>124.321 €</w:t>
            </w:r>
          </w:p>
        </w:tc>
      </w:tr>
      <w:tr>
        <w:tc>
          <w:tcPr>
            <w:tcW w:type="dxa" w:w="5669"/>
          </w:tcPr>
          <w:p>
            <w:pPr>
              <w:spacing w:before="40" w:after="40"/>
            </w:pPr>
            <w:r/>
            <w:r>
              <w:rPr>
                <w:rFonts w:ascii="Calibri" w:hAnsi="Calibri"/>
                <w:b w:val="0"/>
                <w:color w:val="1B231F"/>
                <w:sz w:val="19"/>
              </w:rPr>
              <w:t>Reproducibilidad</w:t>
            </w:r>
          </w:p>
        </w:tc>
        <w:tc>
          <w:tcPr>
            <w:tcW w:type="dxa" w:w="3402"/>
          </w:tcPr>
          <w:p>
            <w:pPr>
              <w:spacing w:before="40" w:after="40"/>
            </w:pPr>
            <w:r/>
            <w:r>
              <w:rPr>
                <w:rFonts w:ascii="Calibri" w:hAnsi="Calibri"/>
                <w:b w:val="0"/>
                <w:color w:val="1B231F"/>
                <w:sz w:val="19"/>
              </w:rPr>
              <w:t>Idéntica en tres ejecuciones independientes</w:t>
            </w:r>
          </w:p>
        </w:tc>
      </w:tr>
    </w:tbl>
    <w:p/>
    <w:p>
      <w:pPr>
        <w:spacing w:after="160"/>
      </w:pPr>
      <w:r>
        <w:rPr>
          <w:rFonts w:ascii="Calibri" w:hAnsi="Calibri"/>
          <w:b w:val="0"/>
          <w:i/>
          <w:color w:val="4B564F"/>
          <w:sz w:val="20"/>
        </w:rPr>
        <w:t>Cifras obtenidas con disponibilidad generada. El objetivo de partida era resolver una jornada en menos de 30 segundos, y se cumple en todas las mediciones.</w:t>
      </w:r>
    </w:p>
    <w:p>
      <w:r>
        <w:br w:type="page"/>
      </w:r>
    </w:p>
    <w:p>
      <w:pPr>
        <w:keepNext/>
        <w:spacing w:before="240" w:after="120"/>
      </w:pPr>
      <w:r>
        <w:rPr>
          <w:rFonts w:ascii="Georgia" w:hAnsi="Georgia"/>
          <w:b/>
          <w:color w:val="021C3C"/>
          <w:sz w:val="27"/>
        </w:rPr>
        <w:t>P6 · Incidencias y sustituciones</w:t>
      </w:r>
    </w:p>
    <w:p>
      <w:pPr>
        <w:spacing w:after="160"/>
      </w:pPr>
      <w:r>
        <w:rPr>
          <w:rFonts w:ascii="Calibri" w:hAnsi="Calibri"/>
          <w:b w:val="0"/>
          <w:i w:val="0"/>
          <w:color w:val="1B231F"/>
          <w:sz w:val="21"/>
        </w:rPr>
        <w:t>El cálculo de sustitutos ya está construido: ante una baja, el sistema recalcula solo ese puesto sin tocar el resto de la jornada y propone candidatos ordenados por coste y cercanía. Lo que falta es el circuito alrededor: registrar la incidencia y avisar al sustituto.</w:t>
      </w:r>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Registrar la incidencia (baja, suspensión, cambio de hora o pabellón)</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Pendiente</w:t>
            </w:r>
          </w:p>
        </w:tc>
      </w:tr>
      <w:tr>
        <w:tc>
          <w:tcPr>
            <w:tcW w:type="dxa" w:w="5669"/>
          </w:tcPr>
          <w:p>
            <w:pPr>
              <w:spacing w:before="40" w:after="40"/>
            </w:pPr>
            <w:r/>
            <w:r>
              <w:rPr>
                <w:rFonts w:ascii="Calibri" w:hAnsi="Calibri"/>
                <w:b w:val="0"/>
                <w:color w:val="1B231F"/>
                <w:sz w:val="19"/>
              </w:rPr>
              <w:t>Recalcular únicamente el puesto afectado</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Proponer sustitutos ordenados por coste y cercanía</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Aviso urgente al sustituto</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Pendiente</w:t>
            </w:r>
          </w:p>
        </w:tc>
      </w:tr>
      <w:tr>
        <w:tc>
          <w:tcPr>
            <w:tcW w:type="dxa" w:w="5669"/>
          </w:tcPr>
          <w:p>
            <w:pPr>
              <w:spacing w:before="40" w:after="40"/>
            </w:pPr>
            <w:r/>
            <w:r>
              <w:rPr>
                <w:rFonts w:ascii="Calibri" w:hAnsi="Calibri"/>
                <w:b w:val="0"/>
                <w:color w:val="1B231F"/>
                <w:sz w:val="19"/>
              </w:rPr>
              <w:t>Revalidar la designación tras un cambio de hora o pabellón</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Pendiente</w:t>
            </w:r>
          </w:p>
        </w:tc>
      </w:tr>
    </w:tbl>
    <w:p/>
    <w:p>
      <w:pPr>
        <w:keepNext/>
        <w:spacing w:before="240" w:after="120"/>
      </w:pPr>
      <w:r>
        <w:rPr>
          <w:rFonts w:ascii="Georgia" w:hAnsi="Georgia"/>
          <w:b/>
          <w:color w:val="021C3C"/>
          <w:sz w:val="27"/>
        </w:rPr>
        <w:t>P7 · Liquidación y reportes</w:t>
      </w:r>
    </w:p>
    <w:p>
      <w:pPr>
        <w:spacing w:after="160"/>
      </w:pPr>
      <w:r>
        <w:rPr>
          <w:rFonts w:ascii="Calibri" w:hAnsi="Calibri"/>
          <w:b w:val="0"/>
          <w:i w:val="0"/>
          <w:color w:val="1B231F"/>
          <w:sz w:val="21"/>
        </w:rPr>
        <w:t>El total de cada persona coincide al céntimo en las tres vistas del sistema: el portal del árbitro, la ficha del panel de administración y el informe de liquidación.</w:t>
      </w:r>
    </w:p>
    <w:tbl>
      <w:tblPr>
        <w:tblStyle w:val="TableGrid"/>
        <w:tblW w:type="auto" w:w="0"/>
        <w:jc w:val="center"/>
        <w:tblLook w:firstColumn="1" w:firstRow="1" w:lastColumn="0" w:lastRow="0" w:noHBand="0" w:noVBand="1" w:val="04A0"/>
      </w:tblPr>
      <w:tblGrid>
        <w:gridCol w:w="3173"/>
        <w:gridCol w:w="3173"/>
        <w:gridCol w:w="3173"/>
      </w:tblGrid>
      <w:tr>
        <w:tc>
          <w:tcPr>
            <w:tcW w:type="dxa" w:w="5669"/>
            <w:shd w:val="clear" w:color="auto" w:fill="C4242F"/>
          </w:tcPr>
          <w:p>
            <w:pPr>
              <w:spacing w:before="40" w:after="40"/>
            </w:pPr>
            <w:r/>
            <w:r>
              <w:rPr>
                <w:rFonts w:ascii="Calibri" w:hAnsi="Calibri"/>
                <w:b/>
                <w:color w:val="FFFFFF"/>
                <w:sz w:val="19"/>
              </w:rPr>
              <w:t>Paso</w:t>
            </w:r>
          </w:p>
        </w:tc>
        <w:tc>
          <w:tcPr>
            <w:tcW w:type="dxa" w:w="1984"/>
            <w:shd w:val="clear" w:color="auto" w:fill="C4242F"/>
          </w:tcPr>
          <w:p>
            <w:pPr>
              <w:spacing w:before="40" w:after="40"/>
            </w:pPr>
            <w:r/>
            <w:r>
              <w:rPr>
                <w:rFonts w:ascii="Calibri" w:hAnsi="Calibri"/>
                <w:b/>
                <w:color w:val="FFFFFF"/>
                <w:sz w:val="19"/>
              </w:rPr>
              <w:t>Actor</w:t>
            </w:r>
          </w:p>
        </w:tc>
        <w:tc>
          <w:tcPr>
            <w:tcW w:type="dxa" w:w="1417"/>
            <w:shd w:val="clear" w:color="auto" w:fill="C4242F"/>
          </w:tcPr>
          <w:p>
            <w:pPr>
              <w:spacing w:before="40" w:after="40"/>
            </w:pPr>
            <w:r/>
            <w:r>
              <w:rPr>
                <w:rFonts w:ascii="Calibri" w:hAnsi="Calibri"/>
                <w:b/>
                <w:color w:val="FFFFFF"/>
                <w:sz w:val="19"/>
              </w:rPr>
              <w:t>Estado</w:t>
            </w:r>
          </w:p>
        </w:tc>
      </w:tr>
      <w:tr>
        <w:tc>
          <w:tcPr>
            <w:tcW w:type="dxa" w:w="5669"/>
          </w:tcPr>
          <w:p>
            <w:pPr>
              <w:spacing w:before="40" w:after="40"/>
            </w:pPr>
            <w:r/>
            <w:r>
              <w:rPr>
                <w:rFonts w:ascii="Calibri" w:hAnsi="Calibri"/>
                <w:b w:val="0"/>
                <w:color w:val="1B231F"/>
                <w:sz w:val="19"/>
              </w:rPr>
              <w:t>Agregar el coste por persona y día del mes natural</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Sumar los honorarios por categoría y puesto</w:t>
            </w:r>
          </w:p>
        </w:tc>
        <w:tc>
          <w:tcPr>
            <w:tcW w:type="dxa" w:w="1984"/>
          </w:tcPr>
          <w:p>
            <w:pPr>
              <w:spacing w:before="40" w:after="40"/>
            </w:pPr>
            <w:r/>
            <w:r>
              <w:rPr>
                <w:rFonts w:ascii="Calibri" w:hAnsi="Calibri"/>
                <w:b w:val="0"/>
                <w:color w:val="1B231F"/>
                <w:sz w:val="19"/>
              </w:rPr>
              <w:t>Sistema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Revisar la liquidación antes de enviarla</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Exportar a Excel para tesorería</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Exportar justificante en PDF por persona</w:t>
            </w:r>
          </w:p>
        </w:tc>
        <w:tc>
          <w:tcPr>
            <w:tcW w:type="dxa" w:w="1984"/>
          </w:tcPr>
          <w:p>
            <w:pPr>
              <w:spacing w:before="40" w:after="40"/>
            </w:pPr>
            <w:r/>
            <w:r>
              <w:rPr>
                <w:rFonts w:ascii="Calibri" w:hAnsi="Calibri"/>
                <w:b w:val="0"/>
                <w:color w:val="1B231F"/>
                <w:sz w:val="19"/>
              </w:rPr>
              <w:t>Designador</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Consulta del historial por el propio interesado</w:t>
            </w:r>
          </w:p>
        </w:tc>
        <w:tc>
          <w:tcPr>
            <w:tcW w:type="dxa" w:w="1984"/>
          </w:tcPr>
          <w:p>
            <w:pPr>
              <w:spacing w:before="40" w:after="40"/>
            </w:pPr>
            <w:r/>
            <w:r>
              <w:rPr>
                <w:rFonts w:ascii="Calibri" w:hAnsi="Calibri"/>
                <w:b w:val="0"/>
                <w:color w:val="1B231F"/>
                <w:sz w:val="19"/>
              </w:rPr>
              <w:t>Árbitro / mesa</w:t>
            </w:r>
          </w:p>
        </w:tc>
        <w:tc>
          <w:tcPr>
            <w:tcW w:type="dxa" w:w="1417"/>
          </w:tcPr>
          <w:p>
            <w:pPr>
              <w:spacing w:before="40" w:after="40"/>
            </w:pPr>
            <w:r/>
            <w:r>
              <w:rPr>
                <w:rFonts w:ascii="Calibri" w:hAnsi="Calibri"/>
                <w:b w:val="0"/>
                <w:color w:val="1B231F"/>
                <w:sz w:val="19"/>
              </w:rPr>
              <w:t>Operativo</w:t>
            </w:r>
          </w:p>
        </w:tc>
      </w:tr>
      <w:tr>
        <w:tc>
          <w:tcPr>
            <w:tcW w:type="dxa" w:w="5669"/>
          </w:tcPr>
          <w:p>
            <w:pPr>
              <w:spacing w:before="40" w:after="40"/>
            </w:pPr>
            <w:r/>
            <w:r>
              <w:rPr>
                <w:rFonts w:ascii="Calibri" w:hAnsi="Calibri"/>
                <w:b w:val="0"/>
                <w:color w:val="1B231F"/>
                <w:sz w:val="19"/>
              </w:rPr>
              <w:t>Ejecución del pago</w:t>
            </w:r>
          </w:p>
        </w:tc>
        <w:tc>
          <w:tcPr>
            <w:tcW w:type="dxa" w:w="1984"/>
          </w:tcPr>
          <w:p>
            <w:pPr>
              <w:spacing w:before="40" w:after="40"/>
            </w:pPr>
            <w:r/>
            <w:r>
              <w:rPr>
                <w:rFonts w:ascii="Calibri" w:hAnsi="Calibri"/>
                <w:b w:val="0"/>
                <w:color w:val="1B231F"/>
                <w:sz w:val="19"/>
              </w:rPr>
              <w:t>Tesorería</w:t>
            </w:r>
          </w:p>
        </w:tc>
        <w:tc>
          <w:tcPr>
            <w:tcW w:type="dxa" w:w="1417"/>
          </w:tcPr>
          <w:p>
            <w:pPr>
              <w:spacing w:before="40" w:after="40"/>
            </w:pPr>
            <w:r/>
            <w:r>
              <w:rPr>
                <w:rFonts w:ascii="Calibri" w:hAnsi="Calibri"/>
                <w:b w:val="0"/>
                <w:color w:val="1B231F"/>
                <w:sz w:val="19"/>
              </w:rPr>
              <w:t>Fuera del sistema</w:t>
            </w:r>
          </w:p>
        </w:tc>
      </w:tr>
    </w:tbl>
    <w:p/>
    <w:p>
      <w:pPr>
        <w:keepNext/>
        <w:spacing w:before="240" w:after="120"/>
      </w:pPr>
      <w:r>
        <w:rPr>
          <w:rFonts w:ascii="Georgia" w:hAnsi="Georgia"/>
          <w:b/>
          <w:color w:val="021C3C"/>
          <w:sz w:val="27"/>
        </w:rPr>
        <w:t>Acceso e identidad</w:t>
      </w:r>
    </w:p>
    <w:p>
      <w:pPr>
        <w:spacing w:after="160"/>
      </w:pPr>
      <w:r>
        <w:rPr>
          <w:rFonts w:ascii="Calibri" w:hAnsi="Calibri"/>
          <w:b w:val="0"/>
          <w:i w:val="0"/>
          <w:color w:val="1B231F"/>
          <w:sz w:val="21"/>
        </w:rPr>
        <w:t>Proceso transversal a todos los anteriores y requisito para exponer el sistema a personas reales, ya que maneja domicilio e IBAN.</w:t>
      </w:r>
    </w:p>
    <w:tbl>
      <w:tblPr>
        <w:tblStyle w:val="TableGrid"/>
        <w:tblW w:type="auto" w:w="0"/>
        <w:jc w:val="center"/>
        <w:tblLook w:firstColumn="1" w:firstRow="1" w:lastColumn="0" w:lastRow="0" w:noHBand="0" w:noVBand="1" w:val="04A0"/>
      </w:tblPr>
      <w:tblGrid>
        <w:gridCol w:w="4759"/>
        <w:gridCol w:w="4759"/>
      </w:tblGrid>
      <w:tr>
        <w:tc>
          <w:tcPr>
            <w:tcW w:type="dxa" w:w="6803"/>
            <w:shd w:val="clear" w:color="auto" w:fill="C4242F"/>
          </w:tcPr>
          <w:p>
            <w:pPr>
              <w:spacing w:before="40" w:after="40"/>
            </w:pPr>
            <w:r/>
            <w:r>
              <w:rPr>
                <w:rFonts w:ascii="Calibri" w:hAnsi="Calibri"/>
                <w:b/>
                <w:color w:val="FFFFFF"/>
                <w:sz w:val="19"/>
              </w:rPr>
              <w:t>Capacidad</w:t>
            </w:r>
          </w:p>
        </w:tc>
        <w:tc>
          <w:tcPr>
            <w:tcW w:type="dxa" w:w="2268"/>
            <w:shd w:val="clear" w:color="auto" w:fill="C4242F"/>
          </w:tcPr>
          <w:p>
            <w:pPr>
              <w:spacing w:before="40" w:after="40"/>
            </w:pPr>
            <w:r/>
            <w:r>
              <w:rPr>
                <w:rFonts w:ascii="Calibri" w:hAnsi="Calibri"/>
                <w:b/>
                <w:color w:val="FFFFFF"/>
                <w:sz w:val="19"/>
              </w:rPr>
              <w:t>Estado</w:t>
            </w:r>
          </w:p>
        </w:tc>
      </w:tr>
      <w:tr>
        <w:tc>
          <w:tcPr>
            <w:tcW w:type="dxa" w:w="6803"/>
          </w:tcPr>
          <w:p>
            <w:pPr>
              <w:spacing w:before="40" w:after="40"/>
            </w:pPr>
            <w:r/>
            <w:r>
              <w:rPr>
                <w:rFonts w:ascii="Calibri" w:hAnsi="Calibri"/>
                <w:b w:val="0"/>
                <w:color w:val="1B231F"/>
                <w:sz w:val="19"/>
              </w:rPr>
              <w:t>Acceso sin contraseña por enlace de correo</w:t>
            </w:r>
          </w:p>
        </w:tc>
        <w:tc>
          <w:tcPr>
            <w:tcW w:type="dxa" w:w="2268"/>
          </w:tcPr>
          <w:p>
            <w:pPr>
              <w:spacing w:before="40" w:after="40"/>
            </w:pPr>
            <w:r/>
            <w:r>
              <w:rPr>
                <w:rFonts w:ascii="Calibri" w:hAnsi="Calibri"/>
                <w:b w:val="0"/>
                <w:color w:val="1B231F"/>
                <w:sz w:val="19"/>
              </w:rPr>
              <w:t>Parcial</w:t>
            </w:r>
          </w:p>
        </w:tc>
      </w:tr>
      <w:tr>
        <w:tc>
          <w:tcPr>
            <w:tcW w:type="dxa" w:w="6803"/>
          </w:tcPr>
          <w:p>
            <w:pPr>
              <w:spacing w:before="40" w:after="40"/>
            </w:pPr>
            <w:r/>
            <w:r>
              <w:rPr>
                <w:rFonts w:ascii="Calibri" w:hAnsi="Calibri"/>
                <w:b w:val="0"/>
                <w:color w:val="1B231F"/>
                <w:sz w:val="19"/>
              </w:rPr>
              <w:t>Separación de vistas entre portal y administración</w:t>
            </w:r>
          </w:p>
        </w:tc>
        <w:tc>
          <w:tcPr>
            <w:tcW w:type="dxa" w:w="2268"/>
          </w:tcPr>
          <w:p>
            <w:pPr>
              <w:spacing w:before="40" w:after="40"/>
            </w:pPr>
            <w:r/>
            <w:r>
              <w:rPr>
                <w:rFonts w:ascii="Calibri" w:hAnsi="Calibri"/>
                <w:b w:val="0"/>
                <w:color w:val="1B231F"/>
                <w:sz w:val="19"/>
              </w:rPr>
              <w:t>Operativo</w:t>
            </w:r>
          </w:p>
        </w:tc>
      </w:tr>
      <w:tr>
        <w:tc>
          <w:tcPr>
            <w:tcW w:type="dxa" w:w="6803"/>
          </w:tcPr>
          <w:p>
            <w:pPr>
              <w:spacing w:before="40" w:after="40"/>
            </w:pPr>
            <w:r/>
            <w:r>
              <w:rPr>
                <w:rFonts w:ascii="Calibri" w:hAnsi="Calibri"/>
                <w:b w:val="0"/>
                <w:color w:val="1B231F"/>
                <w:sz w:val="19"/>
              </w:rPr>
              <w:t>Control de permisos efectivo por perfil</w:t>
            </w:r>
          </w:p>
        </w:tc>
        <w:tc>
          <w:tcPr>
            <w:tcW w:type="dxa" w:w="2268"/>
          </w:tcPr>
          <w:p>
            <w:pPr>
              <w:spacing w:before="40" w:after="40"/>
            </w:pPr>
            <w:r/>
            <w:r>
              <w:rPr>
                <w:rFonts w:ascii="Calibri" w:hAnsi="Calibri"/>
                <w:b w:val="0"/>
                <w:color w:val="1B231F"/>
                <w:sz w:val="19"/>
              </w:rPr>
              <w:t>Pendiente</w:t>
            </w:r>
          </w:p>
        </w:tc>
      </w:tr>
      <w:tr>
        <w:tc>
          <w:tcPr>
            <w:tcW w:type="dxa" w:w="6803"/>
          </w:tcPr>
          <w:p>
            <w:pPr>
              <w:spacing w:before="40" w:after="40"/>
            </w:pPr>
            <w:r/>
            <w:r>
              <w:rPr>
                <w:rFonts w:ascii="Calibri" w:hAnsi="Calibri"/>
                <w:b w:val="0"/>
                <w:color w:val="1B231F"/>
                <w:sz w:val="19"/>
              </w:rPr>
              <w:t>Registro de auditoría de quién designó qué y cuándo</w:t>
            </w:r>
          </w:p>
        </w:tc>
        <w:tc>
          <w:tcPr>
            <w:tcW w:type="dxa" w:w="2268"/>
          </w:tcPr>
          <w:p>
            <w:pPr>
              <w:spacing w:before="40" w:after="40"/>
            </w:pPr>
            <w:r/>
            <w:r>
              <w:rPr>
                <w:rFonts w:ascii="Calibri" w:hAnsi="Calibri"/>
                <w:b w:val="0"/>
                <w:color w:val="1B231F"/>
                <w:sz w:val="19"/>
              </w:rPr>
              <w:t>Pendiente</w:t>
            </w:r>
          </w:p>
        </w:tc>
      </w:tr>
      <w:tr>
        <w:tc>
          <w:tcPr>
            <w:tcW w:type="dxa" w:w="6803"/>
          </w:tcPr>
          <w:p>
            <w:pPr>
              <w:spacing w:before="40" w:after="40"/>
            </w:pPr>
            <w:r/>
            <w:r>
              <w:rPr>
                <w:rFonts w:ascii="Calibri" w:hAnsi="Calibri"/>
                <w:b w:val="0"/>
                <w:color w:val="1B231F"/>
                <w:sz w:val="19"/>
              </w:rPr>
              <w:t>Almacenamiento definitivo en base de datos</w:t>
            </w:r>
          </w:p>
        </w:tc>
        <w:tc>
          <w:tcPr>
            <w:tcW w:type="dxa" w:w="2268"/>
          </w:tcPr>
          <w:p>
            <w:pPr>
              <w:spacing w:before="40" w:after="40"/>
            </w:pPr>
            <w:r/>
            <w:r>
              <w:rPr>
                <w:rFonts w:ascii="Calibri" w:hAnsi="Calibri"/>
                <w:b w:val="0"/>
                <w:color w:val="1B231F"/>
                <w:sz w:val="19"/>
              </w:rPr>
              <w:t>Parcial</w:t>
            </w:r>
          </w:p>
        </w:tc>
      </w:tr>
    </w:tbl>
    <w:p/>
    <w:p>
      <w:r>
        <w:br w:type="page"/>
      </w:r>
    </w:p>
    <w:p>
      <w:pPr>
        <w:keepNext/>
        <w:spacing w:before="360" w:after="120"/>
      </w:pPr>
      <w:r>
        <w:rPr>
          <w:rFonts w:ascii="Georgia" w:hAnsi="Georgia"/>
          <w:b/>
          <w:color w:val="021C3C"/>
          <w:sz w:val="34"/>
        </w:rPr>
        <w:t>7. Estado consolidado</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val="clear" w:color="auto" w:fill="C4242F"/>
          </w:tcPr>
          <w:p>
            <w:pPr>
              <w:spacing w:before="40" w:after="40"/>
            </w:pPr>
            <w:r/>
            <w:r>
              <w:rPr>
                <w:rFonts w:ascii="Calibri" w:hAnsi="Calibri"/>
                <w:b/>
                <w:color w:val="FFFFFF"/>
                <w:sz w:val="19"/>
              </w:rPr>
              <w:t>Proceso</w:t>
            </w:r>
          </w:p>
        </w:tc>
        <w:tc>
          <w:tcPr>
            <w:tcW w:type="dxa" w:w="1474"/>
            <w:shd w:val="clear" w:color="auto" w:fill="C4242F"/>
          </w:tcPr>
          <w:p>
            <w:pPr>
              <w:spacing w:before="40" w:after="40"/>
            </w:pPr>
            <w:r/>
            <w:r>
              <w:rPr>
                <w:rFonts w:ascii="Calibri" w:hAnsi="Calibri"/>
                <w:b/>
                <w:color w:val="FFFFFF"/>
                <w:sz w:val="19"/>
              </w:rPr>
              <w:t>Estado</w:t>
            </w:r>
          </w:p>
        </w:tc>
        <w:tc>
          <w:tcPr>
            <w:tcW w:type="dxa" w:w="4762"/>
            <w:shd w:val="clear" w:color="auto" w:fill="C4242F"/>
          </w:tcPr>
          <w:p>
            <w:pPr>
              <w:spacing w:before="40" w:after="40"/>
            </w:pPr>
            <w:r/>
            <w:r>
              <w:rPr>
                <w:rFonts w:ascii="Calibri" w:hAnsi="Calibri"/>
                <w:b/>
                <w:color w:val="FFFFFF"/>
                <w:sz w:val="19"/>
              </w:rPr>
              <w:t>Comentario</w:t>
            </w:r>
          </w:p>
        </w:tc>
      </w:tr>
      <w:tr>
        <w:tc>
          <w:tcPr>
            <w:tcW w:type="dxa" w:w="2835"/>
          </w:tcPr>
          <w:p>
            <w:pPr>
              <w:spacing w:before="40" w:after="40"/>
            </w:pPr>
            <w:r/>
            <w:r>
              <w:rPr>
                <w:rFonts w:ascii="Calibri" w:hAnsi="Calibri"/>
                <w:b w:val="0"/>
                <w:color w:val="1B231F"/>
                <w:sz w:val="19"/>
              </w:rPr>
              <w:t>P0 Alta de temporada</w:t>
            </w:r>
          </w:p>
        </w:tc>
        <w:tc>
          <w:tcPr>
            <w:tcW w:type="dxa" w:w="1474"/>
          </w:tcPr>
          <w:p>
            <w:pPr>
              <w:spacing w:before="40" w:after="40"/>
            </w:pPr>
            <w:r/>
            <w:r>
              <w:rPr>
                <w:rFonts w:ascii="Calibri" w:hAnsi="Calibri"/>
                <w:b w:val="0"/>
                <w:color w:val="1B231F"/>
                <w:sz w:val="19"/>
              </w:rPr>
              <w:t>Parcial</w:t>
            </w:r>
          </w:p>
        </w:tc>
        <w:tc>
          <w:tcPr>
            <w:tcW w:type="dxa" w:w="4762"/>
          </w:tcPr>
          <w:p>
            <w:pPr>
              <w:spacing w:before="40" w:after="40"/>
            </w:pPr>
            <w:r/>
            <w:r>
              <w:rPr>
                <w:rFonts w:ascii="Calibri" w:hAnsi="Calibri"/>
                <w:b w:val="0"/>
                <w:color w:val="1B231F"/>
                <w:sz w:val="19"/>
              </w:rPr>
              <w:t>Datos y reglas sí; falta pantalla de configuración</w:t>
            </w:r>
          </w:p>
        </w:tc>
      </w:tr>
      <w:tr>
        <w:tc>
          <w:tcPr>
            <w:tcW w:type="dxa" w:w="2835"/>
          </w:tcPr>
          <w:p>
            <w:pPr>
              <w:spacing w:before="40" w:after="40"/>
            </w:pPr>
            <w:r/>
            <w:r>
              <w:rPr>
                <w:rFonts w:ascii="Calibri" w:hAnsi="Calibri"/>
                <w:b w:val="0"/>
                <w:color w:val="1B231F"/>
                <w:sz w:val="19"/>
              </w:rPr>
              <w:t>P1 Importación de partidos</w:t>
            </w:r>
          </w:p>
        </w:tc>
        <w:tc>
          <w:tcPr>
            <w:tcW w:type="dxa" w:w="1474"/>
          </w:tcPr>
          <w:p>
            <w:pPr>
              <w:spacing w:before="40" w:after="40"/>
            </w:pPr>
            <w:r/>
            <w:r>
              <w:rPr>
                <w:rFonts w:ascii="Calibri" w:hAnsi="Calibri"/>
                <w:b w:val="0"/>
                <w:color w:val="1B231F"/>
                <w:sz w:val="19"/>
              </w:rPr>
              <w:t>Operativo</w:t>
            </w:r>
          </w:p>
        </w:tc>
        <w:tc>
          <w:tcPr>
            <w:tcW w:type="dxa" w:w="4762"/>
          </w:tcPr>
          <w:p>
            <w:pPr>
              <w:spacing w:before="40" w:after="40"/>
            </w:pPr>
            <w:r/>
            <w:r>
              <w:rPr>
                <w:rFonts w:ascii="Calibri" w:hAnsi="Calibri"/>
                <w:b w:val="0"/>
                <w:color w:val="1B231F"/>
                <w:sz w:val="19"/>
              </w:rPr>
              <w:t>Tres vías de entrada con validación</w:t>
            </w:r>
          </w:p>
        </w:tc>
      </w:tr>
      <w:tr>
        <w:tc>
          <w:tcPr>
            <w:tcW w:type="dxa" w:w="2835"/>
          </w:tcPr>
          <w:p>
            <w:pPr>
              <w:spacing w:before="40" w:after="40"/>
            </w:pPr>
            <w:r/>
            <w:r>
              <w:rPr>
                <w:rFonts w:ascii="Calibri" w:hAnsi="Calibri"/>
                <w:b w:val="0"/>
                <w:color w:val="1B231F"/>
                <w:sz w:val="19"/>
              </w:rPr>
              <w:t>P2 Disponibilidad</w:t>
            </w:r>
          </w:p>
        </w:tc>
        <w:tc>
          <w:tcPr>
            <w:tcW w:type="dxa" w:w="1474"/>
          </w:tcPr>
          <w:p>
            <w:pPr>
              <w:spacing w:before="40" w:after="40"/>
            </w:pPr>
            <w:r/>
            <w:r>
              <w:rPr>
                <w:rFonts w:ascii="Calibri" w:hAnsi="Calibri"/>
                <w:b w:val="0"/>
                <w:color w:val="1B231F"/>
                <w:sz w:val="19"/>
              </w:rPr>
              <w:t>Parcial</w:t>
            </w:r>
          </w:p>
        </w:tc>
        <w:tc>
          <w:tcPr>
            <w:tcW w:type="dxa" w:w="4762"/>
          </w:tcPr>
          <w:p>
            <w:pPr>
              <w:spacing w:before="40" w:after="40"/>
            </w:pPr>
            <w:r/>
            <w:r>
              <w:rPr>
                <w:rFonts w:ascii="Calibri" w:hAnsi="Calibri"/>
                <w:b w:val="0"/>
                <w:color w:val="1B231F"/>
                <w:sz w:val="19"/>
              </w:rPr>
              <w:t>Portal completo; faltan los avisos automáticos</w:t>
            </w:r>
          </w:p>
        </w:tc>
      </w:tr>
      <w:tr>
        <w:tc>
          <w:tcPr>
            <w:tcW w:type="dxa" w:w="2835"/>
          </w:tcPr>
          <w:p>
            <w:pPr>
              <w:spacing w:before="40" w:after="40"/>
            </w:pPr>
            <w:r/>
            <w:r>
              <w:rPr>
                <w:rFonts w:ascii="Calibri" w:hAnsi="Calibri"/>
                <w:b w:val="0"/>
                <w:color w:val="1B231F"/>
                <w:sz w:val="19"/>
              </w:rPr>
              <w:t>P3 Propuesta automática</w:t>
            </w:r>
          </w:p>
        </w:tc>
        <w:tc>
          <w:tcPr>
            <w:tcW w:type="dxa" w:w="1474"/>
          </w:tcPr>
          <w:p>
            <w:pPr>
              <w:spacing w:before="40" w:after="40"/>
            </w:pPr>
            <w:r/>
            <w:r>
              <w:rPr>
                <w:rFonts w:ascii="Calibri" w:hAnsi="Calibri"/>
                <w:b w:val="0"/>
                <w:color w:val="1B231F"/>
                <w:sz w:val="19"/>
              </w:rPr>
              <w:t>Operativo</w:t>
            </w:r>
          </w:p>
        </w:tc>
        <w:tc>
          <w:tcPr>
            <w:tcW w:type="dxa" w:w="4762"/>
          </w:tcPr>
          <w:p>
            <w:pPr>
              <w:spacing w:before="40" w:after="40"/>
            </w:pPr>
            <w:r/>
            <w:r>
              <w:rPr>
                <w:rFonts w:ascii="Calibri" w:hAnsi="Calibri"/>
                <w:b w:val="0"/>
                <w:color w:val="1B231F"/>
                <w:sz w:val="19"/>
              </w:rPr>
              <w:t>Verificado sobre la temporada completa</w:t>
            </w:r>
          </w:p>
        </w:tc>
      </w:tr>
      <w:tr>
        <w:tc>
          <w:tcPr>
            <w:tcW w:type="dxa" w:w="2835"/>
          </w:tcPr>
          <w:p>
            <w:pPr>
              <w:spacing w:before="40" w:after="40"/>
            </w:pPr>
            <w:r/>
            <w:r>
              <w:rPr>
                <w:rFonts w:ascii="Calibri" w:hAnsi="Calibri"/>
                <w:b w:val="0"/>
                <w:color w:val="1B231F"/>
                <w:sz w:val="19"/>
              </w:rPr>
              <w:t>P4 Revisión y ajuste</w:t>
            </w:r>
          </w:p>
        </w:tc>
        <w:tc>
          <w:tcPr>
            <w:tcW w:type="dxa" w:w="1474"/>
          </w:tcPr>
          <w:p>
            <w:pPr>
              <w:spacing w:before="40" w:after="40"/>
            </w:pPr>
            <w:r/>
            <w:r>
              <w:rPr>
                <w:rFonts w:ascii="Calibri" w:hAnsi="Calibri"/>
                <w:b w:val="0"/>
                <w:color w:val="1B231F"/>
                <w:sz w:val="19"/>
              </w:rPr>
              <w:t>Operativo</w:t>
            </w:r>
          </w:p>
        </w:tc>
        <w:tc>
          <w:tcPr>
            <w:tcW w:type="dxa" w:w="4762"/>
          </w:tcPr>
          <w:p>
            <w:pPr>
              <w:spacing w:before="40" w:after="40"/>
            </w:pPr>
            <w:r/>
            <w:r>
              <w:rPr>
                <w:rFonts w:ascii="Calibri" w:hAnsi="Calibri"/>
                <w:b w:val="0"/>
                <w:color w:val="1B231F"/>
                <w:sz w:val="19"/>
              </w:rPr>
              <w:t>Con coste y carga a la vista</w:t>
            </w:r>
          </w:p>
        </w:tc>
      </w:tr>
      <w:tr>
        <w:tc>
          <w:tcPr>
            <w:tcW w:type="dxa" w:w="2835"/>
          </w:tcPr>
          <w:p>
            <w:pPr>
              <w:spacing w:before="40" w:after="40"/>
            </w:pPr>
            <w:r/>
            <w:r>
              <w:rPr>
                <w:rFonts w:ascii="Calibri" w:hAnsi="Calibri"/>
                <w:b w:val="0"/>
                <w:color w:val="1B231F"/>
                <w:sz w:val="19"/>
              </w:rPr>
              <w:t>P5 Verificación y publicación</w:t>
            </w:r>
          </w:p>
        </w:tc>
        <w:tc>
          <w:tcPr>
            <w:tcW w:type="dxa" w:w="1474"/>
          </w:tcPr>
          <w:p>
            <w:pPr>
              <w:spacing w:before="40" w:after="40"/>
            </w:pPr>
            <w:r/>
            <w:r>
              <w:rPr>
                <w:rFonts w:ascii="Calibri" w:hAnsi="Calibri"/>
                <w:b w:val="0"/>
                <w:color w:val="1B231F"/>
                <w:sz w:val="19"/>
              </w:rPr>
              <w:t>Parcial</w:t>
            </w:r>
          </w:p>
        </w:tc>
        <w:tc>
          <w:tcPr>
            <w:tcW w:type="dxa" w:w="4762"/>
          </w:tcPr>
          <w:p>
            <w:pPr>
              <w:spacing w:before="40" w:after="40"/>
            </w:pPr>
            <w:r/>
            <w:r>
              <w:rPr>
                <w:rFonts w:ascii="Calibri" w:hAnsi="Calibri"/>
                <w:b w:val="0"/>
                <w:color w:val="1B231F"/>
                <w:sz w:val="19"/>
              </w:rPr>
              <w:t>Verifica y publica, pero no avisa</w:t>
            </w:r>
          </w:p>
        </w:tc>
      </w:tr>
      <w:tr>
        <w:tc>
          <w:tcPr>
            <w:tcW w:type="dxa" w:w="2835"/>
          </w:tcPr>
          <w:p>
            <w:pPr>
              <w:spacing w:before="40" w:after="40"/>
            </w:pPr>
            <w:r/>
            <w:r>
              <w:rPr>
                <w:rFonts w:ascii="Calibri" w:hAnsi="Calibri"/>
                <w:b w:val="0"/>
                <w:color w:val="1B231F"/>
                <w:sz w:val="19"/>
              </w:rPr>
              <w:t>P6 Incidencias</w:t>
            </w:r>
          </w:p>
        </w:tc>
        <w:tc>
          <w:tcPr>
            <w:tcW w:type="dxa" w:w="1474"/>
          </w:tcPr>
          <w:p>
            <w:pPr>
              <w:spacing w:before="40" w:after="40"/>
            </w:pPr>
            <w:r/>
            <w:r>
              <w:rPr>
                <w:rFonts w:ascii="Calibri" w:hAnsi="Calibri"/>
                <w:b w:val="0"/>
                <w:color w:val="1B231F"/>
                <w:sz w:val="19"/>
              </w:rPr>
              <w:t>Parcial</w:t>
            </w:r>
          </w:p>
        </w:tc>
        <w:tc>
          <w:tcPr>
            <w:tcW w:type="dxa" w:w="4762"/>
          </w:tcPr>
          <w:p>
            <w:pPr>
              <w:spacing w:before="40" w:after="40"/>
            </w:pPr>
            <w:r/>
            <w:r>
              <w:rPr>
                <w:rFonts w:ascii="Calibri" w:hAnsi="Calibri"/>
                <w:b w:val="0"/>
                <w:color w:val="1B231F"/>
                <w:sz w:val="19"/>
              </w:rPr>
              <w:t>Motor construido, circuito no</w:t>
            </w:r>
          </w:p>
        </w:tc>
      </w:tr>
      <w:tr>
        <w:tc>
          <w:tcPr>
            <w:tcW w:type="dxa" w:w="2835"/>
          </w:tcPr>
          <w:p>
            <w:pPr>
              <w:spacing w:before="40" w:after="40"/>
            </w:pPr>
            <w:r/>
            <w:r>
              <w:rPr>
                <w:rFonts w:ascii="Calibri" w:hAnsi="Calibri"/>
                <w:b w:val="0"/>
                <w:color w:val="1B231F"/>
                <w:sz w:val="19"/>
              </w:rPr>
              <w:t>P7 Liquidación</w:t>
            </w:r>
          </w:p>
        </w:tc>
        <w:tc>
          <w:tcPr>
            <w:tcW w:type="dxa" w:w="1474"/>
          </w:tcPr>
          <w:p>
            <w:pPr>
              <w:spacing w:before="40" w:after="40"/>
            </w:pPr>
            <w:r/>
            <w:r>
              <w:rPr>
                <w:rFonts w:ascii="Calibri" w:hAnsi="Calibri"/>
                <w:b w:val="0"/>
                <w:color w:val="1B231F"/>
                <w:sz w:val="19"/>
              </w:rPr>
              <w:t>Operativo</w:t>
            </w:r>
          </w:p>
        </w:tc>
        <w:tc>
          <w:tcPr>
            <w:tcW w:type="dxa" w:w="4762"/>
          </w:tcPr>
          <w:p>
            <w:pPr>
              <w:spacing w:before="40" w:after="40"/>
            </w:pPr>
            <w:r/>
            <w:r>
              <w:rPr>
                <w:rFonts w:ascii="Calibri" w:hAnsi="Calibri"/>
                <w:b w:val="0"/>
                <w:color w:val="1B231F"/>
                <w:sz w:val="19"/>
              </w:rPr>
              <w:t>Reconciliado al céntimo y exportable</w:t>
            </w:r>
          </w:p>
        </w:tc>
      </w:tr>
      <w:tr>
        <w:tc>
          <w:tcPr>
            <w:tcW w:type="dxa" w:w="2835"/>
          </w:tcPr>
          <w:p>
            <w:pPr>
              <w:spacing w:before="40" w:after="40"/>
            </w:pPr>
            <w:r/>
            <w:r>
              <w:rPr>
                <w:rFonts w:ascii="Calibri" w:hAnsi="Calibri"/>
                <w:b w:val="0"/>
                <w:color w:val="1B231F"/>
                <w:sz w:val="19"/>
              </w:rPr>
              <w:t>Acceso e identidad</w:t>
            </w:r>
          </w:p>
        </w:tc>
        <w:tc>
          <w:tcPr>
            <w:tcW w:type="dxa" w:w="1474"/>
          </w:tcPr>
          <w:p>
            <w:pPr>
              <w:spacing w:before="40" w:after="40"/>
            </w:pPr>
            <w:r/>
            <w:r>
              <w:rPr>
                <w:rFonts w:ascii="Calibri" w:hAnsi="Calibri"/>
                <w:b w:val="0"/>
                <w:color w:val="1B231F"/>
                <w:sz w:val="19"/>
              </w:rPr>
              <w:t>Pendiente</w:t>
            </w:r>
          </w:p>
        </w:tc>
        <w:tc>
          <w:tcPr>
            <w:tcW w:type="dxa" w:w="4762"/>
          </w:tcPr>
          <w:p>
            <w:pPr>
              <w:spacing w:before="40" w:after="40"/>
            </w:pPr>
            <w:r/>
            <w:r>
              <w:rPr>
                <w:rFonts w:ascii="Calibri" w:hAnsi="Calibri"/>
                <w:b w:val="0"/>
                <w:color w:val="1B231F"/>
                <w:sz w:val="19"/>
              </w:rPr>
              <w:t>Requisito para salir a producción</w:t>
            </w:r>
          </w:p>
        </w:tc>
      </w:tr>
    </w:tbl>
    <w:p/>
    <w:p>
      <w:pPr>
        <w:keepNext/>
        <w:spacing w:before="240" w:after="120"/>
      </w:pPr>
      <w:r>
        <w:rPr>
          <w:rFonts w:ascii="Georgia" w:hAnsi="Georgia"/>
          <w:b/>
          <w:color w:val="C4242F"/>
          <w:sz w:val="23"/>
        </w:rPr>
        <w:t>Camino hasta un piloto real</w:t>
      </w:r>
    </w:p>
    <w:p>
      <w:pPr>
        <w:spacing w:after="160"/>
      </w:pPr>
      <w:r>
        <w:rPr>
          <w:rFonts w:ascii="Calibri" w:hAnsi="Calibri"/>
          <w:b w:val="0"/>
          <w:i w:val="0"/>
          <w:color w:val="1B231F"/>
          <w:sz w:val="21"/>
        </w:rPr>
        <w:t>Por orden de bloqueo:</w:t>
      </w:r>
    </w:p>
    <w:p>
      <w:pPr>
        <w:pStyle w:val="ListBullet"/>
        <w:spacing w:after="80"/>
      </w:pPr>
      <w:r>
        <w:rPr>
          <w:rFonts w:ascii="Calibri" w:hAnsi="Calibri"/>
          <w:color w:val="1B231F"/>
          <w:sz w:val="21"/>
        </w:rPr>
        <w:t>Control de acceso efectivo, para que nadie pueda ver los datos de otra persona.</w:t>
      </w:r>
    </w:p>
    <w:p>
      <w:pPr>
        <w:pStyle w:val="ListBullet"/>
        <w:spacing w:after="80"/>
      </w:pPr>
      <w:r>
        <w:rPr>
          <w:rFonts w:ascii="Calibri" w:hAnsi="Calibri"/>
          <w:color w:val="1B231F"/>
          <w:sz w:val="21"/>
        </w:rPr>
        <w:t>Notificaciones: que publicar avise a cada designado y que la disponibilidad se pida sola.</w:t>
      </w:r>
    </w:p>
    <w:p>
      <w:pPr>
        <w:pStyle w:val="ListBullet"/>
        <w:spacing w:after="80"/>
      </w:pPr>
      <w:r>
        <w:rPr>
          <w:rFonts w:ascii="Calibri" w:hAnsi="Calibri"/>
          <w:color w:val="1B231F"/>
          <w:sz w:val="21"/>
        </w:rPr>
        <w:t>Almacenamiento definitivo en base de datos.</w:t>
      </w:r>
    </w:p>
    <w:p>
      <w:pPr>
        <w:spacing w:after="160"/>
      </w:pPr>
      <w:r>
        <w:rPr>
          <w:rFonts w:ascii="Calibri" w:hAnsi="Calibri"/>
          <w:b w:val="0"/>
          <w:i w:val="0"/>
          <w:color w:val="1B231F"/>
          <w:sz w:val="21"/>
        </w:rPr>
        <w:t>Con esas tres piezas, el sistema puede pilotarse con un subconjunto real de árbitros y oficiales de mesa durante una jornada completa.</w:t>
      </w:r>
    </w:p>
    <w:p>
      <w:pPr>
        <w:keepNext/>
        <w:spacing w:before="360" w:after="120"/>
      </w:pPr>
      <w:r>
        <w:rPr>
          <w:rFonts w:ascii="Georgia" w:hAnsi="Georgia"/>
          <w:b/>
          <w:color w:val="021C3C"/>
          <w:sz w:val="34"/>
        </w:rPr>
        <w:t>8. Decisiones pendientes de la federación</w:t>
      </w:r>
    </w:p>
    <w:p>
      <w:pPr>
        <w:spacing w:after="160"/>
      </w:pPr>
      <w:r>
        <w:rPr>
          <w:rFonts w:ascii="Calibri" w:hAnsi="Calibri"/>
          <w:b w:val="0"/>
          <w:i w:val="0"/>
          <w:color w:val="1B231F"/>
          <w:sz w:val="21"/>
        </w:rPr>
        <w:t>Estas son las cuestiones que un flujo de procesos debe cerrar antes de dar por cerrado el alcance. Son también el origen habitual de desviaciones en proyectos de este tipo, porque cada excepción no prevista aparece más tarde como trabajo adicional.</w:t>
      </w:r>
    </w:p>
    <w:tbl>
      <w:tblPr>
        <w:tblStyle w:val="TableGrid"/>
        <w:tblW w:type="auto" w:w="0"/>
        <w:jc w:val="center"/>
        <w:tblLook w:firstColumn="1" w:firstRow="1" w:lastColumn="0" w:lastRow="0" w:noHBand="0" w:noVBand="1" w:val="04A0"/>
      </w:tblPr>
      <w:tblGrid>
        <w:gridCol w:w="4759"/>
        <w:gridCol w:w="4759"/>
      </w:tblGrid>
      <w:tr>
        <w:tc>
          <w:tcPr>
            <w:tcW w:type="dxa" w:w="680"/>
            <w:shd w:val="clear" w:color="auto" w:fill="C4242F"/>
          </w:tcPr>
          <w:p>
            <w:pPr>
              <w:spacing w:before="40" w:after="40"/>
            </w:pPr>
            <w:r/>
            <w:r>
              <w:rPr>
                <w:rFonts w:ascii="Calibri" w:hAnsi="Calibri"/>
                <w:b/>
                <w:color w:val="FFFFFF"/>
                <w:sz w:val="19"/>
              </w:rPr>
              <w:t>#</w:t>
            </w:r>
          </w:p>
        </w:tc>
        <w:tc>
          <w:tcPr>
            <w:tcW w:type="dxa" w:w="8391"/>
            <w:shd w:val="clear" w:color="auto" w:fill="C4242F"/>
          </w:tcPr>
          <w:p>
            <w:pPr>
              <w:spacing w:before="40" w:after="40"/>
            </w:pPr>
            <w:r/>
            <w:r>
              <w:rPr>
                <w:rFonts w:ascii="Calibri" w:hAnsi="Calibri"/>
                <w:b/>
                <w:color w:val="FFFFFF"/>
                <w:sz w:val="19"/>
              </w:rPr>
              <w:t>Decisión pendiente</w:t>
            </w:r>
          </w:p>
        </w:tc>
      </w:tr>
      <w:tr>
        <w:tc>
          <w:tcPr>
            <w:tcW w:type="dxa" w:w="680"/>
          </w:tcPr>
          <w:p>
            <w:pPr>
              <w:spacing w:before="40" w:after="40"/>
            </w:pPr>
            <w:r/>
            <w:r>
              <w:rPr>
                <w:rFonts w:ascii="Calibri" w:hAnsi="Calibri"/>
                <w:b/>
                <w:color w:val="1B231F"/>
                <w:sz w:val="19"/>
              </w:rPr>
              <w:t>1</w:t>
            </w:r>
          </w:p>
        </w:tc>
        <w:tc>
          <w:tcPr>
            <w:tcW w:type="dxa" w:w="8391"/>
          </w:tcPr>
          <w:p>
            <w:pPr>
              <w:spacing w:before="40" w:after="40"/>
            </w:pPr>
            <w:r/>
            <w:r>
              <w:rPr>
                <w:rFonts w:ascii="Calibri" w:hAnsi="Calibri"/>
                <w:b w:val="0"/>
                <w:color w:val="1B231F"/>
                <w:sz w:val="19"/>
              </w:rPr>
              <w:t>Bajas de última hora: quién las recibe, por qué canal y hasta qué momento se sustituye.</w:t>
            </w:r>
          </w:p>
        </w:tc>
      </w:tr>
      <w:tr>
        <w:tc>
          <w:tcPr>
            <w:tcW w:type="dxa" w:w="680"/>
          </w:tcPr>
          <w:p>
            <w:pPr>
              <w:spacing w:before="40" w:after="40"/>
            </w:pPr>
            <w:r/>
            <w:r>
              <w:rPr>
                <w:rFonts w:ascii="Calibri" w:hAnsi="Calibri"/>
                <w:b/>
                <w:color w:val="1B231F"/>
                <w:sz w:val="19"/>
              </w:rPr>
              <w:t>2</w:t>
            </w:r>
          </w:p>
        </w:tc>
        <w:tc>
          <w:tcPr>
            <w:tcW w:type="dxa" w:w="8391"/>
          </w:tcPr>
          <w:p>
            <w:pPr>
              <w:spacing w:before="40" w:after="40"/>
            </w:pPr>
            <w:r/>
            <w:r>
              <w:rPr>
                <w:rFonts w:ascii="Calibri" w:hAnsi="Calibri"/>
                <w:b w:val="0"/>
                <w:color w:val="1B231F"/>
                <w:sz w:val="19"/>
              </w:rPr>
              <w:t>Partidos suspendidos o aplazados: se anulan las designaciones o se arrastran a la nueva fecha. Si alguien ya se había desplazado, qué se le abona.</w:t>
            </w:r>
          </w:p>
        </w:tc>
      </w:tr>
      <w:tr>
        <w:tc>
          <w:tcPr>
            <w:tcW w:type="dxa" w:w="680"/>
          </w:tcPr>
          <w:p>
            <w:pPr>
              <w:spacing w:before="40" w:after="40"/>
            </w:pPr>
            <w:r/>
            <w:r>
              <w:rPr>
                <w:rFonts w:ascii="Calibri" w:hAnsi="Calibri"/>
                <w:b/>
                <w:color w:val="1B231F"/>
                <w:sz w:val="19"/>
              </w:rPr>
              <w:t>3</w:t>
            </w:r>
          </w:p>
        </w:tc>
        <w:tc>
          <w:tcPr>
            <w:tcW w:type="dxa" w:w="8391"/>
          </w:tcPr>
          <w:p>
            <w:pPr>
              <w:spacing w:before="40" w:after="40"/>
            </w:pPr>
            <w:r/>
            <w:r>
              <w:rPr>
                <w:rFonts w:ascii="Calibri" w:hAnsi="Calibri"/>
                <w:b w:val="0"/>
                <w:color w:val="1B231F"/>
                <w:sz w:val="19"/>
              </w:rPr>
              <w:t>Confirmación de designación: se exige acuse de recibo con valor formal o basta la publicación.</w:t>
            </w:r>
          </w:p>
        </w:tc>
      </w:tr>
      <w:tr>
        <w:tc>
          <w:tcPr>
            <w:tcW w:type="dxa" w:w="680"/>
          </w:tcPr>
          <w:p>
            <w:pPr>
              <w:spacing w:before="40" w:after="40"/>
            </w:pPr>
            <w:r/>
            <w:r>
              <w:rPr>
                <w:rFonts w:ascii="Calibri" w:hAnsi="Calibri"/>
                <w:b/>
                <w:color w:val="1B231F"/>
                <w:sz w:val="19"/>
              </w:rPr>
              <w:t>4</w:t>
            </w:r>
          </w:p>
        </w:tc>
        <w:tc>
          <w:tcPr>
            <w:tcW w:type="dxa" w:w="8391"/>
          </w:tcPr>
          <w:p>
            <w:pPr>
              <w:spacing w:before="40" w:after="40"/>
            </w:pPr>
            <w:r/>
            <w:r>
              <w:rPr>
                <w:rFonts w:ascii="Calibri" w:hAnsi="Calibri"/>
                <w:b w:val="0"/>
                <w:color w:val="1B231F"/>
                <w:sz w:val="19"/>
              </w:rPr>
              <w:t>Incompatibilidades: las declara el propio árbitro o las mantiene la federación, y si alcanzan solo al club propio o también a familiares y clubes donde entrena.</w:t>
            </w:r>
          </w:p>
        </w:tc>
      </w:tr>
      <w:tr>
        <w:tc>
          <w:tcPr>
            <w:tcW w:type="dxa" w:w="680"/>
          </w:tcPr>
          <w:p>
            <w:pPr>
              <w:spacing w:before="40" w:after="40"/>
            </w:pPr>
            <w:r/>
            <w:r>
              <w:rPr>
                <w:rFonts w:ascii="Calibri" w:hAnsi="Calibri"/>
                <w:b/>
                <w:color w:val="1B231F"/>
                <w:sz w:val="19"/>
              </w:rPr>
              <w:t>5</w:t>
            </w:r>
          </w:p>
        </w:tc>
        <w:tc>
          <w:tcPr>
            <w:tcW w:type="dxa" w:w="8391"/>
          </w:tcPr>
          <w:p>
            <w:pPr>
              <w:spacing w:before="40" w:after="40"/>
            </w:pPr>
            <w:r/>
            <w:r>
              <w:rPr>
                <w:rFonts w:ascii="Calibri" w:hAnsi="Calibri"/>
                <w:b w:val="0"/>
                <w:color w:val="1B231F"/>
                <w:sz w:val="19"/>
              </w:rPr>
              <w:t>Liquidación: mes natural, quién la valida antes de tesorería y con qué plazo de pago.</w:t>
            </w:r>
          </w:p>
        </w:tc>
      </w:tr>
      <w:tr>
        <w:tc>
          <w:tcPr>
            <w:tcW w:type="dxa" w:w="680"/>
          </w:tcPr>
          <w:p>
            <w:pPr>
              <w:spacing w:before="40" w:after="40"/>
            </w:pPr>
            <w:r/>
            <w:r>
              <w:rPr>
                <w:rFonts w:ascii="Calibri" w:hAnsi="Calibri"/>
                <w:b/>
                <w:color w:val="1B231F"/>
                <w:sz w:val="19"/>
              </w:rPr>
              <w:t>6</w:t>
            </w:r>
          </w:p>
        </w:tc>
        <w:tc>
          <w:tcPr>
            <w:tcW w:type="dxa" w:w="8391"/>
          </w:tcPr>
          <w:p>
            <w:pPr>
              <w:spacing w:before="40" w:after="40"/>
            </w:pPr>
            <w:r/>
            <w:r>
              <w:rPr>
                <w:rFonts w:ascii="Calibri" w:hAnsi="Calibri"/>
                <w:b w:val="0"/>
                <w:color w:val="1B231F"/>
                <w:sz w:val="19"/>
              </w:rPr>
              <w:t>Integración con competición: existe la posibilidad de un acceso directo o el circuito seguirá siendo el fichero oficial.</w:t>
            </w:r>
          </w:p>
        </w:tc>
      </w:tr>
      <w:tr>
        <w:tc>
          <w:tcPr>
            <w:tcW w:type="dxa" w:w="680"/>
          </w:tcPr>
          <w:p>
            <w:pPr>
              <w:spacing w:before="40" w:after="40"/>
            </w:pPr>
            <w:r/>
            <w:r>
              <w:rPr>
                <w:rFonts w:ascii="Calibri" w:hAnsi="Calibri"/>
                <w:b/>
                <w:color w:val="1B231F"/>
                <w:sz w:val="19"/>
              </w:rPr>
              <w:t>7</w:t>
            </w:r>
          </w:p>
        </w:tc>
        <w:tc>
          <w:tcPr>
            <w:tcW w:type="dxa" w:w="8391"/>
          </w:tcPr>
          <w:p>
            <w:pPr>
              <w:spacing w:before="40" w:after="40"/>
            </w:pPr>
            <w:r/>
            <w:r>
              <w:rPr>
                <w:rFonts w:ascii="Calibri" w:hAnsi="Calibri"/>
                <w:b w:val="0"/>
                <w:color w:val="1B231F"/>
                <w:sz w:val="19"/>
              </w:rPr>
              <w:t>Personal: con qué periodicidad cambian los niveles arbitrales y quién lo comunica.</w:t>
            </w:r>
          </w:p>
        </w:tc>
      </w:tr>
      <w:tr>
        <w:tc>
          <w:tcPr>
            <w:tcW w:type="dxa" w:w="680"/>
          </w:tcPr>
          <w:p>
            <w:pPr>
              <w:spacing w:before="40" w:after="40"/>
            </w:pPr>
            <w:r/>
            <w:r>
              <w:rPr>
                <w:rFonts w:ascii="Calibri" w:hAnsi="Calibri"/>
                <w:b/>
                <w:color w:val="1B231F"/>
                <w:sz w:val="19"/>
              </w:rPr>
              <w:t>8</w:t>
            </w:r>
          </w:p>
        </w:tc>
        <w:tc>
          <w:tcPr>
            <w:tcW w:type="dxa" w:w="8391"/>
          </w:tcPr>
          <w:p>
            <w:pPr>
              <w:spacing w:before="40" w:after="40"/>
            </w:pPr>
            <w:r/>
            <w:r>
              <w:rPr>
                <w:rFonts w:ascii="Calibri" w:hAnsi="Calibri"/>
                <w:b w:val="0"/>
                <w:color w:val="1B231F"/>
                <w:sz w:val="19"/>
              </w:rPr>
              <w:t>Protección de datos: quién puede ver domicilio e IBAN, cuánto tiempo se conservan y qué figura en el registro de tratamiento.</w:t>
            </w:r>
          </w:p>
        </w:tc>
      </w:tr>
      <w:tr>
        <w:tc>
          <w:tcPr>
            <w:tcW w:type="dxa" w:w="680"/>
          </w:tcPr>
          <w:p>
            <w:pPr>
              <w:spacing w:before="40" w:after="40"/>
            </w:pPr>
            <w:r/>
            <w:r>
              <w:rPr>
                <w:rFonts w:ascii="Calibri" w:hAnsi="Calibri"/>
                <w:b/>
                <w:color w:val="1B231F"/>
                <w:sz w:val="19"/>
              </w:rPr>
              <w:t>9</w:t>
            </w:r>
          </w:p>
        </w:tc>
        <w:tc>
          <w:tcPr>
            <w:tcW w:type="dxa" w:w="8391"/>
          </w:tcPr>
          <w:p>
            <w:pPr>
              <w:spacing w:before="40" w:after="40"/>
            </w:pPr>
            <w:r/>
            <w:r>
              <w:rPr>
                <w:rFonts w:ascii="Calibri" w:hAnsi="Calibri"/>
                <w:b w:val="0"/>
                <w:color w:val="1B231F"/>
                <w:sz w:val="19"/>
              </w:rPr>
              <w:t>Carga de trabajo: el máximo de tres partidos por franja es política estable o se ajusta por categoría.</w:t>
            </w:r>
          </w:p>
        </w:tc>
      </w:tr>
      <w:tr>
        <w:tc>
          <w:tcPr>
            <w:tcW w:type="dxa" w:w="680"/>
          </w:tcPr>
          <w:p>
            <w:pPr>
              <w:spacing w:before="40" w:after="40"/>
            </w:pPr>
            <w:r/>
            <w:r>
              <w:rPr>
                <w:rFonts w:ascii="Calibri" w:hAnsi="Calibri"/>
                <w:b/>
                <w:color w:val="1B231F"/>
                <w:sz w:val="19"/>
              </w:rPr>
              <w:t>10</w:t>
            </w:r>
          </w:p>
        </w:tc>
        <w:tc>
          <w:tcPr>
            <w:tcW w:type="dxa" w:w="8391"/>
          </w:tcPr>
          <w:p>
            <w:pPr>
              <w:spacing w:before="40" w:after="40"/>
            </w:pPr>
            <w:r/>
            <w:r>
              <w:rPr>
                <w:rFonts w:ascii="Calibri" w:hAnsi="Calibri"/>
                <w:b w:val="0"/>
                <w:color w:val="1B231F"/>
                <w:sz w:val="19"/>
              </w:rPr>
              <w:t>Disponibilidad: es obligatorio declararla. Hoy no declararla equivale a no estar disponible, y es el principal limitador de la cobertura.</w:t>
            </w:r>
          </w:p>
        </w:tc>
      </w:tr>
    </w:tbl>
    <w:p/>
    <w:p>
      <w:pPr>
        <w:spacing w:after="160"/>
      </w:pPr>
      <w:r>
        <w:rPr>
          <w:rFonts w:ascii="Calibri" w:hAnsi="Calibri"/>
          <w:b w:val="0"/>
          <w:i/>
          <w:color w:val="4B564F"/>
          <w:sz w:val="18"/>
        </w:rPr>
        <w:t>Documento preparado por DOCERO para la Federación de Baloncesto de Madrid. Las cifras de cobertura, coste y tiempo proceden de simulaciones sobre el calendario real de la temporada 2025/2026 con disponibilidad generada.</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64F"/>
        <w:sz w:val="16"/>
      </w:rPr>
      <w:t>DOCERO · Software para federaciones y clubes deportivos · docero.eu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color w:val="1B23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