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5C99"/>
          <w:sz w:val="32"/>
          <w:szCs w:val="32"/>
        </w:rPr>
        <w:t xml:space="preserve">EL MERCADO DEL ALQUILER DE VIVIENDA NO HABITUAL EN ESPAÑA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Respuesta al diseño de investigación con los resultados del informe de arrendadores</w:t>
      </w:r>
    </w:p>
    <w:p>
      <w:pPr>
        <w:spacing w:after="240"/>
        <w:jc w:val="center"/>
      </w:pPr>
      <w:r>
        <w:rPr>
          <w:i/>
          <w:iCs/>
          <w:color w:val="595959"/>
          <w:sz w:val="19"/>
          <w:szCs w:val="19"/>
        </w:rPr>
        <w:t xml:space="preserve">Fuente: Panel de Hogares IEF-AEAT (ejercicios 2016 y 2023) y Módulo Inmobiliario. Elaboración propia.</w:t>
      </w:r>
    </w:p>
    <w:p>
      <w:pPr>
        <w:pStyle w:val="Heading1"/>
        <w:spacing w:after="160" w:before="360"/>
      </w:pPr>
      <w:r>
        <w:rPr>
          <w:color w:val="1F5C99"/>
        </w:rPr>
        <w:t xml:space="preserve">Nota previa: fuente, terminología y validación</w:t>
      </w:r>
    </w:p>
    <w:p>
      <w:pPr>
        <w:spacing w:after="120" w:line="276"/>
        <w:jc w:val="both"/>
      </w:pPr>
      <w:r>
        <w:t xml:space="preserve">Todas las cifras de este documento proceden del </w:t>
      </w:r>
      <w:r>
        <w:rPr>
          <w:b/>
          <w:bCs/>
        </w:rPr>
        <w:t xml:space="preserve">informe de arrendadores</w:t>
      </w:r>
      <w:r>
        <w:t xml:space="preserve"> generado a partir de los microdatos del Panel de Hogares IEF-AEAT (corrida validada; hojas M1 a M5, Validación y Notas del libro </w:t>
      </w:r>
      <w:r>
        <w:rPr>
          <w:i/>
          <w:iCs/>
        </w:rPr>
        <w:t xml:space="preserve">informe_arrendadores_vivienda.xlsx</w:t>
      </w:r>
      <w:r>
        <w:t xml:space="preserve">). Las magnitudes de viviendas y declarantes están elevadas a población con el factor de calibración del panel, y las viviendas se computan como vivienda entera (participación de cada titular por su factor).</w:t>
      </w:r>
    </w:p>
    <w:p>
      <w:pPr>
        <w:spacing w:after="120" w:line="276"/>
        <w:jc w:val="both"/>
      </w:pPr>
      <w:r>
        <w:rPr>
          <w:b/>
          <w:bCs/>
        </w:rPr>
        <w:t xml:space="preserve">Terminología. </w:t>
      </w:r>
      <w:r>
        <w:t xml:space="preserve">Donde el diseño de investigación dice “alquiler turístico/temporal”, los resultados emplean la categoría de la estadística de la AEAT: </w:t>
      </w:r>
      <w:r>
        <w:rPr>
          <w:b/>
          <w:bCs/>
        </w:rPr>
        <w:t xml:space="preserve">vivienda no habitual</w:t>
      </w:r>
      <w:r>
        <w:t xml:space="preserve"> — vivienda arrendada que no constituye la vivienda habitual del arrendatario —, que comprende el arrendamiento turístico y de temporada junto con otras finalidades (por ejemplo, alquiler a empresas). La categoría complementaria es la </w:t>
      </w:r>
      <w:r>
        <w:rPr>
          <w:b/>
          <w:bCs/>
        </w:rPr>
        <w:t xml:space="preserve">vivienda habitual</w:t>
      </w:r>
      <w:r>
        <w:t xml:space="preserve"> (arrendada como residencia habitual del inquilino, identificada por la reducción del art. 23.2 LIRPF).</w:t>
      </w:r>
    </w:p>
    <w:p>
      <w:pPr>
        <w:spacing w:after="120" w:line="276"/>
        <w:jc w:val="both"/>
      </w:pPr>
      <w:r>
        <w:rPr>
          <w:b/>
          <w:bCs/>
        </w:rPr>
        <w:t xml:space="preserve">Validación. </w:t>
      </w:r>
      <w:r>
        <w:t xml:space="preserve">La réplica del ejercicio 2023 frente a la estadística oficial “Vivienda en alquiler declarada en el IRPF” arroja los siguientes ratios Panel/AEAT:</w:t>
      </w:r>
    </w:p>
    <w:tbl>
      <w:tblPr>
        <w:tblW w:type="dxa" w:w="9400"/>
        <w:tblBorders>
          <w:top w:val="single" w:color="BBBBBB" w:sz="4"/>
          <w:left w:val="single" w:color="DDDDDD" w:sz="4"/>
          <w:bottom w:val="single" w:color="BBBBBB" w:sz="4"/>
          <w:right w:val="single" w:color="DDDDDD" w:sz="4"/>
          <w:insideH w:val="single" w:color="DDDDDD" w:sz="2"/>
          <w:insideV w:val="single" w:color="DDDDDD" w:sz="2"/>
        </w:tblBorders>
      </w:tblPr>
      <w:tblGrid>
        <w:gridCol w:w="2600"/>
        <w:gridCol w:w="2600"/>
        <w:gridCol w:w="1500"/>
        <w:gridCol w:w="1500"/>
        <w:gridCol w:w="1200"/>
      </w:tblGrid>
      <w:tr>
        <w:trPr>
          <w:tblHeader/>
        </w:trPr>
        <w:tc>
          <w:tcPr>
            <w:tcW w:type="dxa" w:w="2600"/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Segmento</w:t>
            </w:r>
          </w:p>
        </w:tc>
        <w:tc>
          <w:tcPr>
            <w:tcW w:type="dxa" w:w="2600"/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Indicador</w:t>
            </w:r>
          </w:p>
        </w:tc>
        <w:tc>
          <w:tcPr>
            <w:tcW w:type="dxa" w:w="1500"/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Panel</w:t>
            </w:r>
          </w:p>
        </w:tc>
        <w:tc>
          <w:tcPr>
            <w:tcW w:type="dxa" w:w="1500"/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AEAT 2023</w:t>
            </w:r>
          </w:p>
        </w:tc>
        <w:tc>
          <w:tcPr>
            <w:tcW w:type="dxa" w:w="1200"/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Ratio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Vivienda habitual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Viviendas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2.423.187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2.409.689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1,01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Vivienda habitual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Alquiler medio mensual (€)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642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657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0,98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Vivienda habitual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Días de alquiler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347,2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339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1,02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Vivienda no habitual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Viviendas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301.815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309.479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0,98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Vivienda no habitual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Alquiler medio mensual (€)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1.439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1.361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1,06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Vivienda no habitual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Días de alquiler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254,7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271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0,94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color w:val="595959"/>
          <w:sz w:val="19"/>
          <w:szCs w:val="19"/>
        </w:rPr>
        <w:t xml:space="preserve">Los días son censales: casilla 101 agregada por referencia catastral entre todos los declarantes de cada inmueble. El contraste territorial de los módulos 1 y 2 utiliza la ubicación real del inmueble (módulo inmobiliario); el detalle municipal y la serie provincial del módulo 5 emplean la provincia y municipio de residencia del declarante, y así se indica.</w:t>
      </w:r>
    </w:p>
    <w:p>
      <w:pPr>
        <w:pStyle w:val="Heading1"/>
        <w:spacing w:after="160" w:before="360"/>
      </w:pPr>
      <w:r>
        <w:rPr>
          <w:color w:val="1F5C99"/>
        </w:rPr>
        <w:t xml:space="preserve">1. Oferta y distribución territorial</w:t>
      </w:r>
    </w:p>
    <w:p>
      <w:pPr>
        <w:spacing w:after="120" w:line="276"/>
        <w:jc w:val="both"/>
      </w:pPr>
      <w:r>
        <w:rPr>
          <w:b/>
          <w:bCs/>
        </w:rPr>
        <w:t xml:space="preserve">Pregunta central: </w:t>
      </w:r>
      <w:r>
        <w:rPr>
          <w:i/>
          <w:iCs/>
        </w:rPr>
        <w:t xml:space="preserve">¿cuántas viviendas se destinan al alquiler no habitual, dónde se concentran y cómo se compara esa oferta con el parque de alquiler de vivienda habitual?</w:t>
      </w:r>
    </w:p>
    <w:p>
      <w:pPr>
        <w:spacing w:after="120" w:line="276"/>
        <w:jc w:val="both"/>
      </w:pPr>
      <w:r>
        <w:t xml:space="preserve">En 2023 se contabilizan </w:t>
      </w:r>
      <w:r>
        <w:rPr>
          <w:b/>
          <w:bCs/>
        </w:rPr>
        <w:t xml:space="preserve">2.423.187 viviendas arrendadas como vivienda habitual</w:t>
      </w:r>
      <w:r>
        <w:t xml:space="preserve"> y </w:t>
      </w:r>
      <w:r>
        <w:rPr>
          <w:b/>
          <w:bCs/>
        </w:rPr>
        <w:t xml:space="preserve">301.815 como vivienda no habitual</w:t>
      </w:r>
      <w:r>
        <w:t xml:space="preserve">. La vivienda no habitual representa el </w:t>
      </w:r>
      <w:r>
        <w:rPr>
          <w:b/>
          <w:bCs/>
        </w:rPr>
        <w:t xml:space="preserve">11,1 %</w:t>
      </w:r>
      <w:r>
        <w:t xml:space="preserve"> del parque total arrendado declarado (2.725.002 viviendas), lo que equivale a un ratio de 0,125 viviendas no habituales por cada habitual a escala nacional.</w:t>
      </w:r>
    </w:p>
    <w:p>
      <w:pPr>
        <w:spacing w:after="120" w:line="276"/>
        <w:jc w:val="both"/>
      </w:pPr>
      <w:r>
        <w:rPr>
          <w:b/>
          <w:bCs/>
        </w:rPr>
        <w:t xml:space="preserve">Por provincia (ubicación del inmueble). </w:t>
      </w:r>
      <w:r>
        <w:t xml:space="preserve">Las mayores bolsas de vivienda no habitual se localizan en Madrid (33.159 viviendas), Barcelona (25.829), Málaga (21.069), Alicante (18.326), Valencia (17.280), Illes Balears (15.916), Las Palmas (12.272) y Cádiz (11.047). El peso de la modalidad sobre el parque arrendado provincial invierte ese orden: alcanza el 23,0 % en Cádiz, el 22,8 % en Málaga, el 18,2 % en Alicante, el 15,7 % en Las Palmas y el 15,1 % en Illes Balears, frente al 6,4 % de Madrid y el 6,1 % de Barcelona. En términos de ratio, Cádiz (0,299) y Málaga (0,295) casi quintuplican a Madrid (0,068) y Barcelona (0,065).</w:t>
      </w:r>
    </w:p>
    <w:p>
      <w:pPr>
        <w:spacing w:after="120" w:line="276"/>
        <w:jc w:val="both"/>
      </w:pPr>
      <w:r>
        <w:rPr>
          <w:b/>
          <w:bCs/>
        </w:rPr>
        <w:t xml:space="preserve">Por municipio (residencia del declarante). </w:t>
      </w:r>
      <w:r>
        <w:t xml:space="preserve">Los mayores volúmenes de vivienda no habitual declarada corresponden a Madrid (24.670), Barcelona (13.872), València (7.594), Sevilla (5.895), Málaga (5.186) y Las Palmas de Gran Canaria (4.699). La hoja M1 recoge la serie completa de municipios con muestra suficiente.</w:t>
      </w:r>
    </w:p>
    <w:p>
      <w:pPr>
        <w:spacing w:after="120" w:line="264"/>
      </w:pPr>
      <w:r>
        <w:rPr>
          <w:i/>
          <w:iCs/>
          <w:color w:val="595959"/>
          <w:sz w:val="19"/>
          <w:szCs w:val="19"/>
        </w:rPr>
        <w:t xml:space="preserve">La agregación provincial por ubicación reúne 2.387.408 viviendas habituales y 293.975 no habituales (el 98,5 % y el 97,4 % de los totales); el resto corresponde a inmuebles sin ubicación catastral asignable.</w:t>
      </w:r>
    </w:p>
    <w:p>
      <w:pPr>
        <w:pStyle w:val="Heading1"/>
        <w:spacing w:after="160" w:before="360"/>
      </w:pPr>
      <w:r>
        <w:rPr>
          <w:color w:val="1F5C99"/>
        </w:rPr>
        <w:t xml:space="preserve">2. Diferencial de ingresos entre modalidades</w:t>
      </w:r>
    </w:p>
    <w:p>
      <w:pPr>
        <w:spacing w:after="120" w:line="276"/>
        <w:jc w:val="both"/>
      </w:pPr>
      <w:r>
        <w:rPr>
          <w:b/>
          <w:bCs/>
        </w:rPr>
        <w:t xml:space="preserve">Pregunta central: </w:t>
      </w:r>
      <w:r>
        <w:rPr>
          <w:i/>
          <w:iCs/>
        </w:rPr>
        <w:t xml:space="preserve">¿cuánto más ingresa un arrendador con el alquiler no habitual respecto al habitual, y cómo varía ese diferencial por territorio?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b/>
          <w:bCs/>
        </w:rPr>
        <w:t xml:space="preserve">Ingresos íntegros anuales medios por declarante. </w:t>
      </w:r>
      <w:r>
        <w:t xml:space="preserve">Los 2.405.260 declarantes con vivienda habitual arrendada ingresan de media </w:t>
      </w:r>
      <w:r>
        <w:rPr>
          <w:b/>
          <w:bCs/>
        </w:rPr>
        <w:t xml:space="preserve">7.657 €</w:t>
      </w:r>
      <w:r>
        <w:t xml:space="preserve"> al año por esa modalidad; los 382.840 declarantes con vivienda no habitual, </w:t>
      </w:r>
      <w:r>
        <w:rPr>
          <w:b/>
          <w:bCs/>
        </w:rPr>
        <w:t xml:space="preserve">12.807 €</w:t>
      </w:r>
      <w:r>
        <w:t xml:space="preserve">. El diferencial nacional es del </w:t>
      </w:r>
      <w:r>
        <w:rPr>
          <w:b/>
          <w:bCs/>
        </w:rPr>
        <w:t xml:space="preserve">+67,3 %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b/>
          <w:bCs/>
        </w:rPr>
        <w:t xml:space="preserve">Días de ocupación media anual. </w:t>
      </w:r>
      <w:r>
        <w:t xml:space="preserve">347 días la vivienda habitual frente a </w:t>
      </w:r>
      <w:r>
        <w:rPr>
          <w:b/>
          <w:bCs/>
        </w:rPr>
        <w:t xml:space="preserve">255 días</w:t>
      </w:r>
      <w:r>
        <w:t xml:space="preserve"> la no habitual (medida censal por inmueble). Por provincias, la no habitual oscila entre los 316 días de Madrid y los 215 de Cádiz (Barcelona 299, Illes Balears 272, Valencia 260, Las Palmas 259, Málaga 250, Alicante 245), mientras la habitual se mantiene entre 342 y 351 días en todas ellas.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b/>
          <w:bCs/>
        </w:rPr>
        <w:t xml:space="preserve">Diferencial por provincia. </w:t>
      </w:r>
      <w:r>
        <w:t xml:space="preserve">Entre las provincias con más vivienda no habitual, el diferencial de ingresos por declarante alcanza el +120,6 % en Barcelona, +99,4 % en Illes Balears, +98,4 % en Alicante, +93,6 % en Madrid, +87,6 % en Valencia, +72,4 % en Málaga y +63,4 % en Las Palmas, y se reduce al +33,6 % en Cádiz.</w:t>
      </w:r>
    </w:p>
    <w:p>
      <w:pPr>
        <w:pStyle w:val="Heading1"/>
        <w:spacing w:after="160" w:before="360"/>
      </w:pPr>
      <w:r>
        <w:rPr>
          <w:color w:val="1F5C99"/>
        </w:rPr>
        <w:t xml:space="preserve">3. Estructura de propiedad</w:t>
      </w:r>
    </w:p>
    <w:p>
      <w:pPr>
        <w:spacing w:after="120" w:line="276"/>
        <w:jc w:val="both"/>
      </w:pPr>
      <w:r>
        <w:rPr>
          <w:b/>
          <w:bCs/>
        </w:rPr>
        <w:t xml:space="preserve">Pregunta central: </w:t>
      </w:r>
      <w:r>
        <w:rPr>
          <w:i/>
          <w:iCs/>
        </w:rPr>
        <w:t xml:space="preserve">¿quién explota el alquiler no habitual?</w:t>
      </w:r>
    </w:p>
    <w:p>
      <w:pPr>
        <w:spacing w:after="120" w:line="276"/>
        <w:jc w:val="both"/>
      </w:pPr>
      <w:r>
        <w:rPr>
          <w:b/>
          <w:bCs/>
        </w:rPr>
        <w:t xml:space="preserve">Criterio. </w:t>
      </w:r>
      <w:r>
        <w:t xml:space="preserve">La condición de uniarrendador o multiarrendador se determina por la </w:t>
      </w:r>
      <w:r>
        <w:rPr>
          <w:b/>
          <w:bCs/>
        </w:rPr>
        <w:t xml:space="preserve">cartera total de viviendas en alquiler del declarante, con independencia del régimen</w:t>
      </w:r>
      <w:r>
        <w:t xml:space="preserve">: uniarrendador, una única vivienda arrendada; multiarrendador, dos o más. El universo son los declarantes con al menos una vivienda no habitual, y las viviendas se elevan por participación, de modo que ambos grupos suman exactamente el total validado (301.815).</w:t>
      </w:r>
    </w:p>
    <w:p>
      <w:pPr>
        <w:spacing w:after="120" w:line="276"/>
        <w:jc w:val="both"/>
      </w:pPr>
      <w:r>
        <w:t xml:space="preserve">Los </w:t>
      </w:r>
      <w:r>
        <w:rPr>
          <w:b/>
          <w:bCs/>
        </w:rPr>
        <w:t xml:space="preserve">uniarrendadores son 232.016 declarantes (60,6 %)</w:t>
      </w:r>
      <w:r>
        <w:t xml:space="preserve"> y aportan 154.233 viviendas no habituales; los </w:t>
      </w:r>
      <w:r>
        <w:rPr>
          <w:b/>
          <w:bCs/>
        </w:rPr>
        <w:t xml:space="preserve">multiarrendadores, 150.824 (39,4 %)</w:t>
      </w:r>
      <w:r>
        <w:t xml:space="preserve">, acumulan 330.888 viviendas en alquiler, de las cuales 147.582 son no habituales. En ingresos, la relación se invierte: los multiarrendadores concentran el </w:t>
      </w:r>
      <w:r>
        <w:rPr>
          <w:b/>
          <w:bCs/>
        </w:rPr>
        <w:t xml:space="preserve">54,4 %</w:t>
      </w:r>
      <w:r>
        <w:t xml:space="preserve"> de los ingresos del alquiler no habitual, frente al 45,6 % de los uniarrendadores.</w:t>
      </w:r>
    </w:p>
    <w:p>
      <w:pPr>
        <w:spacing w:after="120" w:line="276"/>
        <w:jc w:val="both"/>
      </w:pPr>
      <w:r>
        <w:t xml:space="preserve">Desglose de los declarantes por tamaño de cartera (viviendas en alquiler del declarante):</w:t>
      </w:r>
    </w:p>
    <w:tbl>
      <w:tblPr>
        <w:tblW w:type="dxa" w:w="9800"/>
        <w:tblBorders>
          <w:top w:val="single" w:color="BBBBBB" w:sz="4"/>
          <w:left w:val="single" w:color="DDDDDD" w:sz="4"/>
          <w:bottom w:val="single" w:color="BBBBBB" w:sz="4"/>
          <w:right w:val="single" w:color="DDDDDD" w:sz="4"/>
          <w:insideH w:val="single" w:color="DDDDDD" w:sz="2"/>
          <w:insideV w:val="single" w:color="DDDDDD" w:sz="2"/>
        </w:tblBorders>
      </w:tblPr>
      <w:tblGrid>
        <w:gridCol w:w="2100"/>
        <w:gridCol w:w="1750"/>
        <w:gridCol w:w="2000"/>
        <w:gridCol w:w="2050"/>
        <w:gridCol w:w="1900"/>
      </w:tblGrid>
      <w:tr>
        <w:trPr>
          <w:tblHeader/>
        </w:trPr>
        <w:tc>
          <w:tcPr>
            <w:tcW w:type="dxa" w:w="2100"/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Cartera</w:t>
            </w:r>
          </w:p>
        </w:tc>
        <w:tc>
          <w:tcPr>
            <w:tcW w:type="dxa" w:w="1750"/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Declarantes</w:t>
            </w:r>
          </w:p>
        </w:tc>
        <w:tc>
          <w:tcPr>
            <w:tcW w:type="dxa" w:w="2000"/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Viv. en alquiler</w:t>
            </w:r>
          </w:p>
        </w:tc>
        <w:tc>
          <w:tcPr>
            <w:tcW w:type="dxa" w:w="2050"/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Viv. no habitual</w:t>
            </w:r>
          </w:p>
        </w:tc>
        <w:tc>
          <w:tcPr>
            <w:tcW w:type="dxa" w:w="1900"/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% ingresos no hab.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(uniarrendador)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232.016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154.233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154.233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45,6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80.412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107.249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68.956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24,1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33.250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68.122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33.044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11,8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15.946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44.704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18.140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7,2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5–9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17.598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73.685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22.064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9,0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 o más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3.617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37.128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5.379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2,3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color w:val="595959"/>
          <w:sz w:val="19"/>
          <w:szCs w:val="19"/>
        </w:rPr>
        <w:t xml:space="preserve">La hoja M3 incluye además el reparto uniarrendador/multiarrendador por provincia de residencia del declarante.</w:t>
      </w:r>
    </w:p>
    <w:p>
      <w:pPr>
        <w:pStyle w:val="Heading1"/>
        <w:spacing w:after="160" w:before="360"/>
      </w:pPr>
      <w:r>
        <w:rPr>
          <w:color w:val="1F5C99"/>
        </w:rPr>
        <w:t xml:space="preserve">4. Renta de los arrendadores</w:t>
      </w:r>
    </w:p>
    <w:p>
      <w:pPr>
        <w:spacing w:after="120" w:line="276"/>
        <w:jc w:val="both"/>
      </w:pPr>
      <w:r>
        <w:rPr>
          <w:b/>
          <w:bCs/>
        </w:rPr>
        <w:t xml:space="preserve">Pregunta central: </w:t>
      </w:r>
      <w:r>
        <w:rPr>
          <w:i/>
          <w:iCs/>
        </w:rPr>
        <w:t xml:space="preserve">¿difiere el nivel de renta de los declarantes según arrienden vivienda habitual o no habitual? ¿Está el alquiler no habitual más asociado a rentas altas?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b/>
          <w:bCs/>
        </w:rPr>
        <w:t xml:space="preserve">Renta bruta media. </w:t>
      </w:r>
      <w:r>
        <w:t xml:space="preserve">49.898 € anuales entre los declarantes con vivienda habitual arrendada y </w:t>
      </w:r>
      <w:r>
        <w:rPr>
          <w:b/>
          <w:bCs/>
        </w:rPr>
        <w:t xml:space="preserve">63.189 €</w:t>
      </w:r>
      <w:r>
        <w:t xml:space="preserve"> entre quienes tienen vivienda no habitual (+26,6 %).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b/>
          <w:bCs/>
        </w:rPr>
        <w:t xml:space="preserve">Distribución por tramo de renta. </w:t>
      </w:r>
      <w:r>
        <w:t xml:space="preserve">Los arrendadores de vivienda no habitual pesan más en los tramos altos: el 30,4 % supera los 60.000 € de renta (24,4 % entre 60.000 y 150.000 y 6,0 % por encima de 150.000), frente al 21,5 % de los arrendadores de vivienda habitual (18,2 % y 3,3 %). En los tramos de hasta 30.000 € se sitúa el 34,8 % de los primeros y el 40,1 % de los segundos.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b/>
          <w:bCs/>
        </w:rPr>
        <w:t xml:space="preserve">Uni/multiarrendadores (vivienda no habitual, cartera total). </w:t>
      </w:r>
      <w:r>
        <w:t xml:space="preserve">La renta media de los multiarrendadores es de </w:t>
      </w:r>
      <w:r>
        <w:rPr>
          <w:b/>
          <w:bCs/>
        </w:rPr>
        <w:t xml:space="preserve">86.046 €</w:t>
      </w:r>
      <w:r>
        <w:t xml:space="preserve">, frente a 48.331 € de los uniarrendadores; la distribución del grupo es del 60,6 % uni y 39,4 % multi.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b/>
          <w:bCs/>
        </w:rPr>
        <w:t xml:space="preserve">Peso del alquiler sobre la renta total. </w:t>
      </w:r>
      <w:r>
        <w:t xml:space="preserve">Los ingresos por alquiler representan el 25,2 % de la renta bruta de los arrendadores de vivienda habitual y el </w:t>
      </w:r>
      <w:r>
        <w:rPr>
          <w:b/>
          <w:bCs/>
        </w:rPr>
        <w:t xml:space="preserve">34,8 %</w:t>
      </w:r>
      <w:r>
        <w:t xml:space="preserve"> en los de vivienda no habitual; dentro de estos, el 29 % para los uniarrendadores y el </w:t>
      </w:r>
      <w:r>
        <w:rPr>
          <w:b/>
          <w:bCs/>
        </w:rPr>
        <w:t xml:space="preserve">43 %</w:t>
      </w:r>
      <w:r>
        <w:t xml:space="preserve"> para los multiarrendadores.</w:t>
      </w:r>
    </w:p>
    <w:p>
      <w:pPr>
        <w:pStyle w:val="Heading1"/>
        <w:spacing w:after="160" w:before="360"/>
      </w:pPr>
      <w:r>
        <w:rPr>
          <w:color w:val="1F5C99"/>
        </w:rPr>
        <w:t xml:space="preserve">5. Evolución temporal 2016–2023</w:t>
      </w:r>
    </w:p>
    <w:p>
      <w:pPr>
        <w:spacing w:after="120" w:line="276"/>
        <w:jc w:val="both"/>
      </w:pPr>
      <w:r>
        <w:rPr>
          <w:b/>
          <w:bCs/>
        </w:rPr>
        <w:t xml:space="preserve">Pregunta central: </w:t>
      </w:r>
      <w:r>
        <w:rPr>
          <w:i/>
          <w:iCs/>
        </w:rPr>
        <w:t xml:space="preserve">¿cómo han cambiado la oferta, los ingresos, la estructura de propiedad y el perfil de renta desde 2016?</w:t>
      </w:r>
    </w:p>
    <w:p>
      <w:pPr>
        <w:spacing w:after="120" w:line="276"/>
        <w:jc w:val="both"/>
      </w:pPr>
      <w:r>
        <w:rPr>
          <w:b/>
          <w:bCs/>
        </w:rPr>
        <w:t xml:space="preserve">Universos y cobertura. </w:t>
      </w:r>
      <w:r>
        <w:t xml:space="preserve">Ambos ejercicios se perimetran con criterio validado: 2023 con la calibración contrastada con la AEAT (cobertura catastral del 97,5 %) y 2016 con el perímetro catastral del módulo inmobiliario (85,6 %). Por la asimetría de cobertura, los niveles de 2016 quedan infravalorados en esa proporción; la serie incluye el nivel ajustado por cobertura como horquilla y la comparación se recomienda en ratios y estructura.</w:t>
      </w:r>
    </w:p>
    <w:tbl>
      <w:tblPr>
        <w:tblW w:type="dxa" w:w="8200"/>
        <w:tblBorders>
          <w:top w:val="single" w:color="BBBBBB" w:sz="4"/>
          <w:left w:val="single" w:color="DDDDDD" w:sz="4"/>
          <w:bottom w:val="single" w:color="BBBBBB" w:sz="4"/>
          <w:right w:val="single" w:color="DDDDDD" w:sz="4"/>
          <w:insideH w:val="single" w:color="DDDDDD" w:sz="2"/>
          <w:insideV w:val="single" w:color="DDDDDD" w:sz="2"/>
        </w:tblBorders>
      </w:tblPr>
      <w:tblGrid>
        <w:gridCol w:w="3300"/>
        <w:gridCol w:w="1700"/>
        <w:gridCol w:w="1700"/>
        <w:gridCol w:w="1500"/>
      </w:tblGrid>
      <w:tr>
        <w:trPr>
          <w:tblHeader/>
        </w:trPr>
        <w:tc>
          <w:tcPr>
            <w:tcW w:type="dxa" w:w="3300"/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Serie nacional</w:t>
            </w:r>
          </w:p>
        </w:tc>
        <w:tc>
          <w:tcPr>
            <w:tcW w:type="dxa" w:w="1700"/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2016</w:t>
            </w:r>
          </w:p>
        </w:tc>
        <w:tc>
          <w:tcPr>
            <w:tcW w:type="dxa" w:w="1700"/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2023</w:t>
            </w:r>
          </w:p>
        </w:tc>
        <w:tc>
          <w:tcPr>
            <w:tcW w:type="dxa" w:w="1500"/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Variación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Viviendas no habituales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224.724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301.815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+34,3 %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 íd., ajustadas por cobertura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262.528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309.554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+17,9 %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Viviendas habituales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1.773.632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2.423.187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+36,6 %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Ingresos/declarante, habitual (€)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6.146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7.657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+24,6 %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Ingresos/declarante, no habitual (€)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5.843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12.807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+119,2 %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Diferencial entre modalidades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−4,9 %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+67,3 %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Uniarrendadores (con viv. no hab.)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187.418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232.016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+23,8 %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Multiarrendadores (íd.)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90.438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150.824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+66,8 %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Cuota de ingresos de los multi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39,8 %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54,4 %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+14,6 p.p.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Renta media, arrendador habitual (€)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37.782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49.898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+32,1 %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Renta media, arrendador no habitual (€)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45.074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63.189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+40,2 %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b/>
          <w:bCs/>
        </w:rPr>
        <w:t xml:space="preserve">Oferta. </w:t>
      </w:r>
      <w:r>
        <w:t xml:space="preserve">La vivienda no habitual crece un 34,3 % en nivel observado (un 17,9 % en la lectura ajustada por cobertura), en paralelo al 36,6 % de la habitual: su peso sobre el parque arrendado se mantiene en torno al 11 %.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b/>
          <w:bCs/>
        </w:rPr>
        <w:t xml:space="preserve">Ingresos y diferencial. </w:t>
      </w:r>
      <w:r>
        <w:t xml:space="preserve">El cambio más pronunciado es el de los ingresos por declarante de la vivienda no habitual, que pasan de 5.843 a 12.807 €: el diferencial frente a la habitual se invierte, de un </w:t>
      </w:r>
      <w:r>
        <w:rPr>
          <w:b/>
          <w:bCs/>
        </w:rPr>
        <w:t xml:space="preserve">−4,9 % en 2016 a un +67,3 % en 2023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b/>
          <w:bCs/>
        </w:rPr>
        <w:t xml:space="preserve">Estructura de propiedad. </w:t>
      </w:r>
      <w:r>
        <w:t xml:space="preserve">Los multiarrendadores crecen un 66,8 % (frente al 23,8 % de los uniarrendadores) y su cuota sobre los ingresos del alquiler no habitual pasa del 39,8 % al </w:t>
      </w:r>
      <w:r>
        <w:rPr>
          <w:b/>
          <w:bCs/>
        </w:rPr>
        <w:t xml:space="preserve">54,4 %</w:t>
      </w:r>
      <w:r>
        <w:t xml:space="preserve">: en 2023 concentran la mayoría de los ingresos de la modalidad.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b/>
          <w:bCs/>
        </w:rPr>
        <w:t xml:space="preserve">Serie provincial (residencia del declarante). </w:t>
      </w:r>
      <w:r>
        <w:t xml:space="preserve">Entre las provincias con más vivienda no habitual, destacan los aumentos de Málaga (7.725 → 18.946), Alicante (8.206 → 15.468) y Madrid (30.790 → 44.612), junto a la práctica estabilidad de Barcelona (32.775 → 33.027). La hoja M5 recoge la serie completa por provincia.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b/>
          <w:bCs/>
        </w:rPr>
        <w:t xml:space="preserve">Renta. </w:t>
      </w:r>
      <w:r>
        <w:t xml:space="preserve">La renta media de los arrendadores aumenta en ambas modalidades y la brecha se amplía: de +19,3 % a +26,6 % a favor del arrendador de vivienda no habitual.</w:t>
      </w:r>
    </w:p>
    <w:p>
      <w:pPr>
        <w:pStyle w:val="Heading1"/>
        <w:spacing w:after="160" w:before="360"/>
      </w:pPr>
      <w:r>
        <w:rPr>
          <w:color w:val="1F5C99"/>
        </w:rPr>
        <w:t xml:space="preserve">Correspondencia con el informe</w:t>
      </w:r>
    </w:p>
    <w:p>
      <w:pPr>
        <w:spacing w:after="120" w:line="276"/>
        <w:jc w:val="both"/>
      </w:pPr>
      <w:r>
        <w:t xml:space="preserve">Cada módulo de este documento se corresponde con una hoja del libro de resultados (M1_Oferta_territorial, M2_Diferencial_precio, M3_Estructura_propiedad, M4_Renta_arrendadores y M5_Evolucion_2016_2023), con la hoja Validacion_AEAT como contraste frente a la estadística oficial y las hojas Notas y Metadatos como registro de advertencias, parámetros y sello de versión de la corrida. Los 24 gráficos asociados (hojas Graficos y Graficos_extra, y carpeta resultados/graficos del repositorio) reproducen estas mismas magnitudes.</w:t>
      </w:r>
    </w:p>
    <w:sectPr>
      <w:pgSz w:w="11906" w:h="16838" w:orient="portrait"/>
      <w:pgMar w:top="1247" w:right="1360" w:bottom="1133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2026-08-07T08:41:38.414Z</dcterms:created>
  <dcterms:modified xsi:type="dcterms:W3CDTF">2026-08-07T08:41:38.427Z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