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 w:line="269" w:lineRule="auto"/>
        <w:jc w:val="center"/>
      </w:pPr>
      <w:r>
        <w:rPr>
          <w:rFonts w:ascii="DM Sans" w:hAnsi="DM Sans"/>
          <w:b/>
          <w:i w:val="0"/>
          <w:color w:val="F2A900"/>
          <w:sz w:val="20"/>
        </w:rPr>
        <w:t>PROPUESTA COMERCIAL</w:t>
      </w:r>
    </w:p>
    <w:p>
      <w:pPr>
        <w:spacing w:after="360"/>
        <w:jc w:val="center"/>
      </w:pPr>
      <w:r>
        <w:drawing>
          <wp:inline xmlns:a="http://schemas.openxmlformats.org/drawingml/2006/main" xmlns:pic="http://schemas.openxmlformats.org/drawingml/2006/picture">
            <wp:extent cx="1908000" cy="190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vogel-dar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8000" cy="19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Syne" w:hAnsi="Syne"/>
          <w:b/>
          <w:i w:val="0"/>
          <w:color w:val="0F2A44"/>
          <w:sz w:val="46"/>
        </w:rPr>
        <w:t>Sistema web de administración, tesorería y cobranzas</w:t>
      </w:r>
    </w:p>
    <w:p>
      <w:pPr>
        <w:spacing w:before="0" w:after="440" w:line="269" w:lineRule="auto"/>
        <w:jc w:val="center"/>
      </w:pPr>
      <w:r>
        <w:rPr>
          <w:rFonts w:ascii="Syne" w:hAnsi="Syne"/>
          <w:b/>
          <w:i w:val="0"/>
          <w:color w:val="1E5FA8"/>
          <w:sz w:val="29"/>
        </w:rPr>
        <w:t>IPAC Posadas y Eldorado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EAF3FF"/>
            <w:tcBorders>
              <w:top w:val="single" w:sz="8" w:space="0" w:color="F2A900"/>
              <w:left w:val="single" w:sz="8" w:space="0" w:color="F2A900"/>
              <w:bottom w:val="single" w:sz="8" w:space="0" w:color="F2A900"/>
              <w:right w:val="single" w:sz="8" w:space="0" w:color="F2A900"/>
              <w:insideH w:val="single" w:sz="8" w:space="0" w:color="F2A900"/>
              <w:insideV w:val="single" w:sz="8" w:space="0" w:color="F2A900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DM Sans" w:hAnsi="DM Sans"/>
                <w:b/>
                <w:i w:val="0"/>
                <w:color w:val="0F2A44"/>
                <w:sz w:val="20"/>
              </w:rPr>
              <w:t>Objetivo de la propuesta</w:t>
            </w:r>
          </w:p>
          <w:p>
            <w:pPr>
              <w:spacing w:after="0"/>
            </w:pPr>
            <w:r>
              <w:rPr>
                <w:rFonts w:ascii="DM Sans" w:hAnsi="DM Sans"/>
                <w:b w:val="0"/>
                <w:i w:val="0"/>
                <w:color w:val="191D23"/>
                <w:sz w:val="19"/>
              </w:rPr>
              <w:t>Implementar un sistema web progresivo que permita trabajar desde ambas sucursales, ordenar la administración, mejorar el control de cuotas y caja, y evolucionar por etapas bajo un abono mensual sostenible.</w:t>
            </w:r>
          </w:p>
        </w:tc>
      </w:tr>
    </w:tbl>
    <w:p>
      <w:pPr>
        <w:spacing w:after="40"/>
      </w:pPr>
    </w:p>
    <w:p>
      <w:pPr>
        <w:spacing w:before="360" w:after="40" w:line="269" w:lineRule="auto"/>
        <w:jc w:val="center"/>
      </w:pPr>
      <w:r>
        <w:rPr>
          <w:rFonts w:ascii="Syne" w:hAnsi="Syne"/>
          <w:b/>
          <w:i w:val="0"/>
          <w:color w:val="0F2A44"/>
          <w:sz w:val="21"/>
        </w:rPr>
        <w:t>Preparado por Vogel Consultoría</w:t>
      </w:r>
    </w:p>
    <w:p>
      <w:pPr>
        <w:spacing w:before="0" w:after="40" w:line="269" w:lineRule="auto"/>
        <w:jc w:val="center"/>
      </w:pPr>
      <w:r>
        <w:rPr>
          <w:rFonts w:ascii="DM Sans" w:hAnsi="DM Sans"/>
          <w:b w:val="0"/>
          <w:i w:val="0"/>
          <w:color w:val="546376"/>
          <w:sz w:val="19"/>
        </w:rPr>
        <w:t>Sistemas a medida, dashboards, automatización e inteligencia artificial para empresas.</w:t>
      </w:r>
    </w:p>
    <w:p>
      <w:pPr>
        <w:spacing w:before="0" w:after="0" w:line="269" w:lineRule="auto"/>
        <w:jc w:val="center"/>
      </w:pPr>
      <w:r>
        <w:rPr>
          <w:rFonts w:ascii="DM Sans" w:hAnsi="DM Sans"/>
          <w:b w:val="0"/>
          <w:i w:val="0"/>
          <w:color w:val="546376"/>
          <w:sz w:val="19"/>
        </w:rPr>
        <w:t>Junio 2026</w:t>
      </w:r>
    </w:p>
    <w:p>
      <w:r>
        <w:br w:type="page"/>
      </w:r>
    </w:p>
    <w:p>
      <w:pPr>
        <w:spacing w:before="280" w:after="100"/>
      </w:pPr>
      <w:r>
        <w:rPr>
          <w:rFonts w:ascii="Syne" w:hAnsi="Syne"/>
          <w:b/>
          <w:i w:val="0"/>
          <w:color w:val="0F2A44"/>
          <w:sz w:val="33"/>
        </w:rPr>
        <w:t>1. Resumen ejecutivo</w:t>
      </w:r>
    </w:p>
    <w:p>
      <w:pPr>
        <w:spacing w:before="0" w:after="120" w:line="269" w:lineRule="auto"/>
      </w:pPr>
      <w:r>
        <w:rPr>
          <w:rFonts w:ascii="DM Sans" w:hAnsi="DM Sans"/>
          <w:b w:val="0"/>
          <w:i w:val="0"/>
          <w:color w:val="191D23"/>
          <w:sz w:val="21"/>
        </w:rPr>
        <w:t>IPAC necesita dejar atrás una operación administrativa condicionada por el uso local del sistema y avanzar hacia una plataforma web segura, accesible desde Posadas y Eldorado, con información centralizada y control por sucursal.</w:t>
      </w:r>
    </w:p>
    <w:p>
      <w:pPr>
        <w:spacing w:before="0" w:after="120" w:line="269" w:lineRule="auto"/>
      </w:pPr>
      <w:r>
        <w:rPr>
          <w:rFonts w:ascii="DM Sans" w:hAnsi="DM Sans"/>
          <w:b w:val="0"/>
          <w:i w:val="0"/>
          <w:color w:val="191D23"/>
          <w:sz w:val="21"/>
        </w:rPr>
        <w:t>La propuesta se plantea como un servicio mensual evolutivo: en lugar de congelar un alcance enorme desde el primer día, se construyen módulos priorizados, se entregan avances mensuales y se ajusta el sistema según el uso real de la institución.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FF7E0"/>
            <w:tcBorders>
              <w:top w:val="single" w:sz="8" w:space="0" w:color="F2A900"/>
              <w:left w:val="single" w:sz="8" w:space="0" w:color="F2A900"/>
              <w:bottom w:val="single" w:sz="8" w:space="0" w:color="F2A900"/>
              <w:right w:val="single" w:sz="8" w:space="0" w:color="F2A900"/>
              <w:insideH w:val="single" w:sz="8" w:space="0" w:color="F2A900"/>
              <w:insideV w:val="single" w:sz="8" w:space="0" w:color="F2A900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DM Sans" w:hAnsi="DM Sans"/>
                <w:b/>
                <w:i w:val="0"/>
                <w:color w:val="0F2A44"/>
                <w:sz w:val="20"/>
              </w:rPr>
              <w:t>Recomendación comercial</w:t>
            </w:r>
          </w:p>
          <w:p>
            <w:pPr>
              <w:spacing w:after="0"/>
            </w:pPr>
            <w:r>
              <w:rPr>
                <w:rFonts w:ascii="DM Sans" w:hAnsi="DM Sans"/>
                <w:b w:val="0"/>
                <w:i w:val="0"/>
                <w:color w:val="191D23"/>
                <w:sz w:val="19"/>
              </w:rPr>
              <w:t>Contratar una puesta en marcha inicial y luego un abono mensual recomendado de $350.000, con servidor incluido y hasta 15 horas mensuales para desarrollo, soporte y mejoras evolutivas.</w:t>
            </w:r>
          </w:p>
        </w:tc>
      </w:tr>
    </w:tbl>
    <w:p>
      <w:pPr>
        <w:spacing w:after="40"/>
      </w:pPr>
    </w:p>
    <w:p>
      <w:pPr>
        <w:spacing w:before="280" w:after="100"/>
      </w:pPr>
      <w:r>
        <w:rPr>
          <w:rFonts w:ascii="Syne" w:hAnsi="Syne"/>
          <w:b/>
          <w:i w:val="0"/>
          <w:color w:val="0F2A44"/>
          <w:sz w:val="33"/>
        </w:rPr>
        <w:t>2. Situación actual detectada</w:t>
      </w:r>
    </w:p>
    <w:p>
      <w:pPr>
        <w:pStyle w:val="ListBullet"/>
        <w:spacing w:after="60" w:line="264" w:lineRule="auto"/>
      </w:pPr>
      <w:r>
        <w:rPr>
          <w:rFonts w:ascii="DM Sans" w:hAnsi="DM Sans"/>
          <w:b w:val="0"/>
          <w:i w:val="0"/>
          <w:color w:val="191D23"/>
          <w:sz w:val="20"/>
        </w:rPr>
        <w:t>La operación depende de equipos locales y no cuenta con una lógica web centralizada.</w:t>
      </w:r>
    </w:p>
    <w:p>
      <w:pPr>
        <w:pStyle w:val="ListBullet"/>
        <w:spacing w:after="60" w:line="264" w:lineRule="auto"/>
      </w:pPr>
      <w:r>
        <w:rPr>
          <w:rFonts w:ascii="DM Sans" w:hAnsi="DM Sans"/>
          <w:b w:val="0"/>
          <w:i w:val="0"/>
          <w:color w:val="191D23"/>
          <w:sz w:val="20"/>
        </w:rPr>
        <w:t>Las dos sucursales trabajan con información separada o sin intercambio fluido.</w:t>
      </w:r>
    </w:p>
    <w:p>
      <w:pPr>
        <w:pStyle w:val="ListBullet"/>
        <w:spacing w:after="60" w:line="264" w:lineRule="auto"/>
      </w:pPr>
      <w:r>
        <w:rPr>
          <w:rFonts w:ascii="DM Sans" w:hAnsi="DM Sans"/>
          <w:b w:val="0"/>
          <w:i w:val="0"/>
          <w:color w:val="191D23"/>
          <w:sz w:val="20"/>
        </w:rPr>
        <w:t>El volumen actual aproximado es de 220 alumnos entre Posadas y Eldorado.</w:t>
      </w:r>
    </w:p>
    <w:p>
      <w:pPr>
        <w:pStyle w:val="ListBullet"/>
        <w:spacing w:after="60" w:line="264" w:lineRule="auto"/>
      </w:pPr>
      <w:r>
        <w:rPr>
          <w:rFonts w:ascii="DM Sans" w:hAnsi="DM Sans"/>
          <w:b w:val="0"/>
          <w:i w:val="0"/>
          <w:color w:val="191D23"/>
          <w:sz w:val="20"/>
        </w:rPr>
        <w:t>Procesos críticos como cuotas, caja, pagos, reportes y actualizaciones dependen de tareas manuales.</w:t>
      </w:r>
    </w:p>
    <w:p>
      <w:pPr>
        <w:pStyle w:val="ListBullet"/>
        <w:spacing w:after="60" w:line="264" w:lineRule="auto"/>
      </w:pPr>
      <w:r>
        <w:rPr>
          <w:rFonts w:ascii="DM Sans" w:hAnsi="DM Sans"/>
          <w:b w:val="0"/>
          <w:i w:val="0"/>
          <w:color w:val="191D23"/>
          <w:sz w:val="20"/>
        </w:rPr>
        <w:t>El crecimiento futuro requiere ordenar roles, permisos, auditoría, backups y acceso seguro.</w:t>
      </w:r>
    </w:p>
    <w:p>
      <w:pPr>
        <w:spacing w:before="280" w:after="100"/>
      </w:pPr>
      <w:r>
        <w:rPr>
          <w:rFonts w:ascii="Syne" w:hAnsi="Syne"/>
          <w:b/>
          <w:i w:val="0"/>
          <w:color w:val="0F2A44"/>
          <w:sz w:val="33"/>
        </w:rPr>
        <w:t>3. Beneficios concretos para IPAC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951"/>
            <w:shd w:fill="0F2A44"/>
            <w:tcBorders>
              <w:top w:val="single" w:sz="6" w:space="0" w:color="0F2A44"/>
              <w:left w:val="single" w:sz="6" w:space="0" w:color="0F2A44"/>
              <w:bottom w:val="single" w:sz="6" w:space="0" w:color="0F2A44"/>
              <w:right w:val="single" w:sz="6" w:space="0" w:color="0F2A44"/>
              <w:insideH w:val="single" w:sz="6" w:space="0" w:color="0F2A44"/>
              <w:insideV w:val="single" w:sz="6" w:space="0" w:color="0F2A44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DM Sans" w:hAnsi="DM Sans"/>
                <w:b/>
                <w:i w:val="0"/>
                <w:color w:val="FFFFFF"/>
                <w:sz w:val="18"/>
              </w:rPr>
              <w:t>Beneficio</w:t>
            </w:r>
          </w:p>
        </w:tc>
        <w:tc>
          <w:tcPr>
            <w:tcW w:type="dxa" w:w="6408"/>
            <w:shd w:fill="0F2A44"/>
            <w:tcBorders>
              <w:top w:val="single" w:sz="6" w:space="0" w:color="0F2A44"/>
              <w:left w:val="single" w:sz="6" w:space="0" w:color="0F2A44"/>
              <w:bottom w:val="single" w:sz="6" w:space="0" w:color="0F2A44"/>
              <w:right w:val="single" w:sz="6" w:space="0" w:color="0F2A44"/>
              <w:insideH w:val="single" w:sz="6" w:space="0" w:color="0F2A44"/>
              <w:insideV w:val="single" w:sz="6" w:space="0" w:color="0F2A44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DM Sans" w:hAnsi="DM Sans"/>
                <w:b/>
                <w:i w:val="0"/>
                <w:color w:val="FFFFFF"/>
                <w:sz w:val="18"/>
              </w:rPr>
              <w:t>Impacto esperado</w:t>
            </w:r>
          </w:p>
        </w:tc>
      </w:tr>
      <w:tr>
        <w:tc>
          <w:tcPr>
            <w:tcW w:type="dxa" w:w="2951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15" w:type="dxa"/>
              <w:start w:w="140" w:type="dxa"/>
              <w:bottom w:w="115" w:type="dxa"/>
              <w:end w:w="140" w:type="dxa"/>
            </w:tcMar>
          </w:tcPr>
          <w:p>
            <w:r>
              <w:rPr>
                <w:rFonts w:ascii="DM Sans" w:hAnsi="DM Sans"/>
                <w:b/>
                <w:i w:val="0"/>
                <w:color w:val="191D23"/>
                <w:sz w:val="18"/>
              </w:rPr>
              <w:t>Acceso desde ambas sucursales</w:t>
            </w:r>
          </w:p>
        </w:tc>
        <w:tc>
          <w:tcPr>
            <w:tcW w:type="dxa" w:w="6408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15" w:type="dxa"/>
              <w:start w:w="140" w:type="dxa"/>
              <w:bottom w:w="115" w:type="dxa"/>
              <w:end w:w="140" w:type="dxa"/>
            </w:tcMar>
          </w:tcPr>
          <w:p>
            <w:r>
              <w:rPr>
                <w:rFonts w:ascii="DM Sans" w:hAnsi="DM Sans"/>
                <w:b w:val="0"/>
                <w:i w:val="0"/>
                <w:color w:val="191D23"/>
                <w:sz w:val="18"/>
              </w:rPr>
              <w:t>Posadas y Eldorado podrán operar sin depender de una única máquina física.</w:t>
            </w:r>
          </w:p>
        </w:tc>
      </w:tr>
      <w:tr>
        <w:tc>
          <w:tcPr>
            <w:tcW w:type="dxa" w:w="2951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15" w:type="dxa"/>
              <w:start w:w="140" w:type="dxa"/>
              <w:bottom w:w="115" w:type="dxa"/>
              <w:end w:w="140" w:type="dxa"/>
            </w:tcMar>
          </w:tcPr>
          <w:p>
            <w:r>
              <w:rPr>
                <w:rFonts w:ascii="DM Sans" w:hAnsi="DM Sans"/>
                <w:b/>
                <w:i w:val="0"/>
                <w:color w:val="191D23"/>
                <w:sz w:val="18"/>
              </w:rPr>
              <w:t>Información centralizada</w:t>
            </w:r>
          </w:p>
        </w:tc>
        <w:tc>
          <w:tcPr>
            <w:tcW w:type="dxa" w:w="6408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15" w:type="dxa"/>
              <w:start w:w="140" w:type="dxa"/>
              <w:bottom w:w="115" w:type="dxa"/>
              <w:end w:w="140" w:type="dxa"/>
            </w:tcMar>
          </w:tcPr>
          <w:p>
            <w:r>
              <w:rPr>
                <w:rFonts w:ascii="DM Sans" w:hAnsi="DM Sans"/>
                <w:b w:val="0"/>
                <w:i w:val="0"/>
                <w:color w:val="191D23"/>
                <w:sz w:val="18"/>
              </w:rPr>
              <w:t>Alumnos, cuotas, pagos y movimientos estarán disponibles en una única base controlada.</w:t>
            </w:r>
          </w:p>
        </w:tc>
      </w:tr>
      <w:tr>
        <w:tc>
          <w:tcPr>
            <w:tcW w:type="dxa" w:w="2951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15" w:type="dxa"/>
              <w:start w:w="140" w:type="dxa"/>
              <w:bottom w:w="115" w:type="dxa"/>
              <w:end w:w="140" w:type="dxa"/>
            </w:tcMar>
          </w:tcPr>
          <w:p>
            <w:r>
              <w:rPr>
                <w:rFonts w:ascii="DM Sans" w:hAnsi="DM Sans"/>
                <w:b/>
                <w:i w:val="0"/>
                <w:color w:val="191D23"/>
                <w:sz w:val="18"/>
              </w:rPr>
              <w:t>Mejor control de deuda</w:t>
            </w:r>
          </w:p>
        </w:tc>
        <w:tc>
          <w:tcPr>
            <w:tcW w:type="dxa" w:w="6408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15" w:type="dxa"/>
              <w:start w:w="140" w:type="dxa"/>
              <w:bottom w:w="115" w:type="dxa"/>
              <w:end w:w="140" w:type="dxa"/>
            </w:tcMar>
          </w:tcPr>
          <w:p>
            <w:r>
              <w:rPr>
                <w:rFonts w:ascii="DM Sans" w:hAnsi="DM Sans"/>
                <w:b w:val="0"/>
                <w:i w:val="0"/>
                <w:color w:val="191D23"/>
                <w:sz w:val="18"/>
              </w:rPr>
              <w:t>La administración podrá consultar morosos, pagos a cuenta, cuotas vencidas y estado de cada alumno.</w:t>
            </w:r>
          </w:p>
        </w:tc>
      </w:tr>
      <w:tr>
        <w:tc>
          <w:tcPr>
            <w:tcW w:type="dxa" w:w="2951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15" w:type="dxa"/>
              <w:start w:w="140" w:type="dxa"/>
              <w:bottom w:w="115" w:type="dxa"/>
              <w:end w:w="140" w:type="dxa"/>
            </w:tcMar>
          </w:tcPr>
          <w:p>
            <w:r>
              <w:rPr>
                <w:rFonts w:ascii="DM Sans" w:hAnsi="DM Sans"/>
                <w:b/>
                <w:i w:val="0"/>
                <w:color w:val="191D23"/>
                <w:sz w:val="18"/>
              </w:rPr>
              <w:t>Caja más ordenada</w:t>
            </w:r>
          </w:p>
        </w:tc>
        <w:tc>
          <w:tcPr>
            <w:tcW w:type="dxa" w:w="6408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15" w:type="dxa"/>
              <w:start w:w="140" w:type="dxa"/>
              <w:bottom w:w="115" w:type="dxa"/>
              <w:end w:w="140" w:type="dxa"/>
            </w:tcMar>
          </w:tcPr>
          <w:p>
            <w:r>
              <w:rPr>
                <w:rFonts w:ascii="DM Sans" w:hAnsi="DM Sans"/>
                <w:b w:val="0"/>
                <w:i w:val="0"/>
                <w:color w:val="191D23"/>
                <w:sz w:val="18"/>
              </w:rPr>
              <w:t>Cada usuario y sucursal podrá registrar movimientos, cierres, arqueos y reportes diarios.</w:t>
            </w:r>
          </w:p>
        </w:tc>
      </w:tr>
      <w:tr>
        <w:tc>
          <w:tcPr>
            <w:tcW w:type="dxa" w:w="2951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15" w:type="dxa"/>
              <w:start w:w="140" w:type="dxa"/>
              <w:bottom w:w="115" w:type="dxa"/>
              <w:end w:w="140" w:type="dxa"/>
            </w:tcMar>
          </w:tcPr>
          <w:p>
            <w:r>
              <w:rPr>
                <w:rFonts w:ascii="DM Sans" w:hAnsi="DM Sans"/>
                <w:b/>
                <w:i w:val="0"/>
                <w:color w:val="191D23"/>
                <w:sz w:val="18"/>
              </w:rPr>
              <w:t>Menos trabajo manual</w:t>
            </w:r>
          </w:p>
        </w:tc>
        <w:tc>
          <w:tcPr>
            <w:tcW w:type="dxa" w:w="6408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15" w:type="dxa"/>
              <w:start w:w="140" w:type="dxa"/>
              <w:bottom w:w="115" w:type="dxa"/>
              <w:end w:w="140" w:type="dxa"/>
            </w:tcMar>
          </w:tcPr>
          <w:p>
            <w:r>
              <w:rPr>
                <w:rFonts w:ascii="DM Sans" w:hAnsi="DM Sans"/>
                <w:b w:val="0"/>
                <w:i w:val="0"/>
                <w:color w:val="191D23"/>
                <w:sz w:val="18"/>
              </w:rPr>
              <w:t>Recargos, descuentos por convenio, reportes y exportaciones se automatizan progresivamente.</w:t>
            </w:r>
          </w:p>
        </w:tc>
      </w:tr>
      <w:tr>
        <w:tc>
          <w:tcPr>
            <w:tcW w:type="dxa" w:w="2951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15" w:type="dxa"/>
              <w:start w:w="140" w:type="dxa"/>
              <w:bottom w:w="115" w:type="dxa"/>
              <w:end w:w="140" w:type="dxa"/>
            </w:tcMar>
          </w:tcPr>
          <w:p>
            <w:r>
              <w:rPr>
                <w:rFonts w:ascii="DM Sans" w:hAnsi="DM Sans"/>
                <w:b/>
                <w:i w:val="0"/>
                <w:color w:val="191D23"/>
                <w:sz w:val="18"/>
              </w:rPr>
              <w:t>Crecimiento por etapas</w:t>
            </w:r>
          </w:p>
        </w:tc>
        <w:tc>
          <w:tcPr>
            <w:tcW w:type="dxa" w:w="6408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15" w:type="dxa"/>
              <w:start w:w="140" w:type="dxa"/>
              <w:bottom w:w="115" w:type="dxa"/>
              <w:end w:w="140" w:type="dxa"/>
            </w:tcMar>
          </w:tcPr>
          <w:p>
            <w:r>
              <w:rPr>
                <w:rFonts w:ascii="DM Sans" w:hAnsi="DM Sans"/>
                <w:b w:val="0"/>
                <w:i w:val="0"/>
                <w:color w:val="191D23"/>
                <w:sz w:val="18"/>
              </w:rPr>
              <w:t>ARCA, Mercado Pago, portal alumno y gestión académica se incorporan sin frenar la primera versión.</w:t>
            </w:r>
          </w:p>
        </w:tc>
      </w:tr>
    </w:tbl>
    <w:p>
      <w:r>
        <w:br w:type="page"/>
      </w:r>
    </w:p>
    <w:p>
      <w:pPr>
        <w:spacing w:before="280" w:after="100"/>
      </w:pPr>
      <w:r>
        <w:rPr>
          <w:rFonts w:ascii="Syne" w:hAnsi="Syne"/>
          <w:b/>
          <w:i w:val="0"/>
          <w:color w:val="0F2A44"/>
          <w:sz w:val="33"/>
        </w:rPr>
        <w:t>4. Alcance inicial recomendado</w:t>
      </w:r>
    </w:p>
    <w:p>
      <w:pPr>
        <w:spacing w:before="0" w:after="120" w:line="269" w:lineRule="auto"/>
      </w:pPr>
      <w:r>
        <w:rPr>
          <w:rFonts w:ascii="DM Sans" w:hAnsi="DM Sans"/>
          <w:b w:val="0"/>
          <w:i w:val="0"/>
          <w:color w:val="191D23"/>
          <w:sz w:val="21"/>
        </w:rPr>
        <w:t>La primera versión se enfoca en administración, tesorería y cobranzas. La gestión pedagógica queda planificada como etapa futura para no demorar la solución operativa principal.</w:t>
      </w:r>
    </w:p>
    <w:p>
      <w:pPr>
        <w:pStyle w:val="ListBullet"/>
        <w:spacing w:after="60" w:line="264" w:lineRule="auto"/>
      </w:pPr>
      <w:r>
        <w:rPr>
          <w:rFonts w:ascii="DM Sans" w:hAnsi="DM Sans"/>
          <w:b w:val="0"/>
          <w:i w:val="0"/>
          <w:color w:val="191D23"/>
          <w:sz w:val="20"/>
        </w:rPr>
        <w:t>Acceso web seguro con usuarios y contraseñas.</w:t>
      </w:r>
    </w:p>
    <w:p>
      <w:pPr>
        <w:pStyle w:val="ListBullet"/>
        <w:spacing w:after="60" w:line="264" w:lineRule="auto"/>
      </w:pPr>
      <w:r>
        <w:rPr>
          <w:rFonts w:ascii="DM Sans" w:hAnsi="DM Sans"/>
          <w:b w:val="0"/>
          <w:i w:val="0"/>
          <w:color w:val="191D23"/>
          <w:sz w:val="20"/>
        </w:rPr>
        <w:t>Sucursales Posadas y Eldorado, con permisos y visibilidad por sede.</w:t>
      </w:r>
    </w:p>
    <w:p>
      <w:pPr>
        <w:pStyle w:val="ListBullet"/>
        <w:spacing w:after="60" w:line="264" w:lineRule="auto"/>
      </w:pPr>
      <w:r>
        <w:rPr>
          <w:rFonts w:ascii="DM Sans" w:hAnsi="DM Sans"/>
          <w:b w:val="0"/>
          <w:i w:val="0"/>
          <w:color w:val="191D23"/>
          <w:sz w:val="20"/>
        </w:rPr>
        <w:t>Gestión de alumnos, matrícula, conceptos, carreras/cursos y datos de contacto.</w:t>
      </w:r>
    </w:p>
    <w:p>
      <w:pPr>
        <w:pStyle w:val="ListBullet"/>
        <w:spacing w:after="60" w:line="264" w:lineRule="auto"/>
      </w:pPr>
      <w:r>
        <w:rPr>
          <w:rFonts w:ascii="DM Sans" w:hAnsi="DM Sans"/>
          <w:b w:val="0"/>
          <w:i w:val="0"/>
          <w:color w:val="191D23"/>
          <w:sz w:val="20"/>
        </w:rPr>
        <w:t>Generación de cuotas por ciclo, descuentos por convenio y recargos automáticos.</w:t>
      </w:r>
    </w:p>
    <w:p>
      <w:pPr>
        <w:pStyle w:val="ListBullet"/>
        <w:spacing w:after="60" w:line="264" w:lineRule="auto"/>
      </w:pPr>
      <w:r>
        <w:rPr>
          <w:rFonts w:ascii="DM Sans" w:hAnsi="DM Sans"/>
          <w:b w:val="0"/>
          <w:i w:val="0"/>
          <w:color w:val="191D23"/>
          <w:sz w:val="20"/>
        </w:rPr>
        <w:t>Registro de pagos, pagos a cuenta, saldos y estado de cuenta del alumno.</w:t>
      </w:r>
    </w:p>
    <w:p>
      <w:pPr>
        <w:pStyle w:val="ListBullet"/>
        <w:spacing w:after="60" w:line="264" w:lineRule="auto"/>
      </w:pPr>
      <w:r>
        <w:rPr>
          <w:rFonts w:ascii="DM Sans" w:hAnsi="DM Sans"/>
          <w:b w:val="0"/>
          <w:i w:val="0"/>
          <w:color w:val="191D23"/>
          <w:sz w:val="20"/>
        </w:rPr>
        <w:t>Caja por usuario y sucursal, ingresos, egresos, retiros, pases, cierres y arqueos.</w:t>
      </w:r>
    </w:p>
    <w:p>
      <w:pPr>
        <w:pStyle w:val="ListBullet"/>
        <w:spacing w:after="60" w:line="264" w:lineRule="auto"/>
      </w:pPr>
      <w:r>
        <w:rPr>
          <w:rFonts w:ascii="DM Sans" w:hAnsi="DM Sans"/>
          <w:b w:val="0"/>
          <w:i w:val="0"/>
          <w:color w:val="191D23"/>
          <w:sz w:val="20"/>
        </w:rPr>
        <w:t>Recibos, exportaciones a Excel/PDF y reportes básicos de deuda, caja y pagos.</w:t>
      </w:r>
    </w:p>
    <w:p>
      <w:pPr>
        <w:pStyle w:val="ListBullet"/>
        <w:spacing w:after="60" w:line="264" w:lineRule="auto"/>
      </w:pPr>
      <w:r>
        <w:rPr>
          <w:rFonts w:ascii="DM Sans" w:hAnsi="DM Sans"/>
          <w:b w:val="0"/>
          <w:i w:val="0"/>
          <w:color w:val="191D23"/>
          <w:sz w:val="20"/>
        </w:rPr>
        <w:t>Base preparada para integrar factura ARCA, Mercado Pago y portal de alumnos.</w:t>
      </w:r>
    </w:p>
    <w:p>
      <w:pPr>
        <w:spacing w:before="280" w:after="100"/>
      </w:pPr>
      <w:r>
        <w:rPr>
          <w:rFonts w:ascii="Syne" w:hAnsi="Syne"/>
          <w:b/>
          <w:i w:val="0"/>
          <w:color w:val="0F2A44"/>
          <w:sz w:val="33"/>
        </w:rPr>
        <w:t>5. Modalidad de trabajo</w:t>
      </w:r>
    </w:p>
    <w:p>
      <w:pPr>
        <w:pStyle w:val="ListNumber"/>
        <w:spacing w:after="60" w:line="264" w:lineRule="auto"/>
      </w:pPr>
      <w:r>
        <w:rPr>
          <w:rFonts w:ascii="DM Sans" w:hAnsi="DM Sans"/>
          <w:b w:val="0"/>
          <w:i w:val="0"/>
          <w:color w:val="191D23"/>
          <w:sz w:val="20"/>
        </w:rPr>
        <w:t>Cada mes se acuerdan prioridades y entregables según la bolsa de horas incluida.</w:t>
      </w:r>
    </w:p>
    <w:p>
      <w:pPr>
        <w:pStyle w:val="ListNumber"/>
        <w:spacing w:after="60" w:line="264" w:lineRule="auto"/>
      </w:pPr>
      <w:r>
        <w:rPr>
          <w:rFonts w:ascii="DM Sans" w:hAnsi="DM Sans"/>
          <w:b w:val="0"/>
          <w:i w:val="0"/>
          <w:color w:val="191D23"/>
          <w:sz w:val="20"/>
        </w:rPr>
        <w:t>Las tareas no abordadas en el mes quedan priorizadas para el mes siguiente o se cotizan como adicional.</w:t>
      </w:r>
    </w:p>
    <w:p>
      <w:pPr>
        <w:pStyle w:val="ListNumber"/>
        <w:spacing w:after="60" w:line="264" w:lineRule="auto"/>
      </w:pPr>
      <w:r>
        <w:rPr>
          <w:rFonts w:ascii="DM Sans" w:hAnsi="DM Sans"/>
          <w:b w:val="0"/>
          <w:i w:val="0"/>
          <w:color w:val="191D23"/>
          <w:sz w:val="20"/>
        </w:rPr>
        <w:t>Las urgencias sobre módulos ya entregados tienen prioridad frente a nuevas funcionalidades.</w:t>
      </w:r>
    </w:p>
    <w:p>
      <w:pPr>
        <w:pStyle w:val="ListNumber"/>
        <w:spacing w:after="60" w:line="264" w:lineRule="auto"/>
      </w:pPr>
      <w:r>
        <w:rPr>
          <w:rFonts w:ascii="DM Sans" w:hAnsi="DM Sans"/>
          <w:b w:val="0"/>
          <w:i w:val="0"/>
          <w:color w:val="191D23"/>
          <w:sz w:val="20"/>
        </w:rPr>
        <w:t>El cliente participa validando datos, reglas, comprobantes, reportes y pruebas de operación.</w:t>
      </w:r>
    </w:p>
    <w:p>
      <w:pPr>
        <w:spacing w:before="280" w:after="100"/>
      </w:pPr>
      <w:r>
        <w:rPr>
          <w:rFonts w:ascii="Syne" w:hAnsi="Syne"/>
          <w:b/>
          <w:i w:val="0"/>
          <w:color w:val="0F2A44"/>
          <w:sz w:val="33"/>
        </w:rPr>
        <w:t>6. Roadmap tentativo de implementación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792"/>
            <w:shd w:fill="0F2A44"/>
            <w:tcBorders>
              <w:top w:val="single" w:sz="6" w:space="0" w:color="0F2A44"/>
              <w:left w:val="single" w:sz="6" w:space="0" w:color="0F2A44"/>
              <w:bottom w:val="single" w:sz="6" w:space="0" w:color="0F2A44"/>
              <w:right w:val="single" w:sz="6" w:space="0" w:color="0F2A44"/>
              <w:insideH w:val="single" w:sz="6" w:space="0" w:color="0F2A44"/>
              <w:insideV w:val="single" w:sz="6" w:space="0" w:color="0F2A44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DM Sans" w:hAnsi="DM Sans"/>
                <w:b/>
                <w:i w:val="0"/>
                <w:color w:val="FFFFFF"/>
                <w:sz w:val="18"/>
              </w:rPr>
              <w:t>Mes</w:t>
            </w:r>
          </w:p>
        </w:tc>
        <w:tc>
          <w:tcPr>
            <w:tcW w:type="dxa" w:w="4680"/>
            <w:shd w:fill="0F2A44"/>
            <w:tcBorders>
              <w:top w:val="single" w:sz="6" w:space="0" w:color="0F2A44"/>
              <w:left w:val="single" w:sz="6" w:space="0" w:color="0F2A44"/>
              <w:bottom w:val="single" w:sz="6" w:space="0" w:color="0F2A44"/>
              <w:right w:val="single" w:sz="6" w:space="0" w:color="0F2A44"/>
              <w:insideH w:val="single" w:sz="6" w:space="0" w:color="0F2A44"/>
              <w:insideV w:val="single" w:sz="6" w:space="0" w:color="0F2A44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DM Sans" w:hAnsi="DM Sans"/>
                <w:b/>
                <w:i w:val="0"/>
                <w:color w:val="FFFFFF"/>
                <w:sz w:val="18"/>
              </w:rPr>
              <w:t>Entregables principales</w:t>
            </w:r>
          </w:p>
        </w:tc>
        <w:tc>
          <w:tcPr>
            <w:tcW w:type="dxa" w:w="3888"/>
            <w:shd w:fill="0F2A44"/>
            <w:tcBorders>
              <w:top w:val="single" w:sz="6" w:space="0" w:color="0F2A44"/>
              <w:left w:val="single" w:sz="6" w:space="0" w:color="0F2A44"/>
              <w:bottom w:val="single" w:sz="6" w:space="0" w:color="0F2A44"/>
              <w:right w:val="single" w:sz="6" w:space="0" w:color="0F2A44"/>
              <w:insideH w:val="single" w:sz="6" w:space="0" w:color="0F2A44"/>
              <w:insideV w:val="single" w:sz="6" w:space="0" w:color="0F2A44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DM Sans" w:hAnsi="DM Sans"/>
                <w:b/>
                <w:i w:val="0"/>
                <w:color w:val="FFFFFF"/>
                <w:sz w:val="18"/>
              </w:rPr>
              <w:t>Beneficio para IPAC</w:t>
            </w:r>
          </w:p>
        </w:tc>
      </w:tr>
      <w:tr>
        <w:tc>
          <w:tcPr>
            <w:tcW w:type="dxa" w:w="792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15" w:type="dxa"/>
              <w:start w:w="140" w:type="dxa"/>
              <w:bottom w:w="115" w:type="dxa"/>
              <w:end w:w="140" w:type="dxa"/>
            </w:tcMar>
          </w:tcPr>
          <w:p>
            <w:pPr>
              <w:jc w:val="center"/>
            </w:pPr>
            <w:r>
              <w:rPr>
                <w:rFonts w:ascii="DM Sans" w:hAnsi="DM Sans"/>
                <w:b/>
                <w:i w:val="0"/>
                <w:color w:val="191D23"/>
                <w:sz w:val="17"/>
              </w:rPr>
              <w:t>1</w:t>
            </w:r>
          </w:p>
        </w:tc>
        <w:tc>
          <w:tcPr>
            <w:tcW w:type="dxa" w:w="4680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15" w:type="dxa"/>
              <w:start w:w="140" w:type="dxa"/>
              <w:bottom w:w="115" w:type="dxa"/>
              <w:end w:w="140" w:type="dxa"/>
            </w:tcMar>
          </w:tcPr>
          <w:p>
            <w:pPr>
              <w:jc w:val="left"/>
            </w:pPr>
            <w:r>
              <w:rPr>
                <w:rFonts w:ascii="DM Sans" w:hAnsi="DM Sans"/>
                <w:b w:val="0"/>
                <w:i w:val="0"/>
                <w:color w:val="191D23"/>
                <w:sz w:val="17"/>
              </w:rPr>
              <w:t>Servidor, usuarios, sucursales, alumnos, carreras/cursos y conceptos base.</w:t>
            </w:r>
          </w:p>
        </w:tc>
        <w:tc>
          <w:tcPr>
            <w:tcW w:type="dxa" w:w="3888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15" w:type="dxa"/>
              <w:start w:w="140" w:type="dxa"/>
              <w:bottom w:w="115" w:type="dxa"/>
              <w:end w:w="140" w:type="dxa"/>
            </w:tcMar>
          </w:tcPr>
          <w:p>
            <w:pPr>
              <w:jc w:val="left"/>
            </w:pPr>
            <w:r>
              <w:rPr>
                <w:rFonts w:ascii="DM Sans" w:hAnsi="DM Sans"/>
                <w:b w:val="0"/>
                <w:i w:val="0"/>
                <w:color w:val="191D23"/>
                <w:sz w:val="17"/>
              </w:rPr>
              <w:t>Primer acceso web ordenado desde Posadas y Eldorado.</w:t>
            </w:r>
          </w:p>
        </w:tc>
      </w:tr>
      <w:tr>
        <w:tc>
          <w:tcPr>
            <w:tcW w:type="dxa" w:w="792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15" w:type="dxa"/>
              <w:start w:w="140" w:type="dxa"/>
              <w:bottom w:w="115" w:type="dxa"/>
              <w:end w:w="140" w:type="dxa"/>
            </w:tcMar>
          </w:tcPr>
          <w:p>
            <w:pPr>
              <w:jc w:val="center"/>
            </w:pPr>
            <w:r>
              <w:rPr>
                <w:rFonts w:ascii="DM Sans" w:hAnsi="DM Sans"/>
                <w:b/>
                <w:i w:val="0"/>
                <w:color w:val="191D23"/>
                <w:sz w:val="17"/>
              </w:rPr>
              <w:t>2</w:t>
            </w:r>
          </w:p>
        </w:tc>
        <w:tc>
          <w:tcPr>
            <w:tcW w:type="dxa" w:w="4680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15" w:type="dxa"/>
              <w:start w:w="140" w:type="dxa"/>
              <w:bottom w:w="115" w:type="dxa"/>
              <w:end w:w="140" w:type="dxa"/>
            </w:tcMar>
          </w:tcPr>
          <w:p>
            <w:pPr>
              <w:jc w:val="left"/>
            </w:pPr>
            <w:r>
              <w:rPr>
                <w:rFonts w:ascii="DM Sans" w:hAnsi="DM Sans"/>
                <w:b w:val="0"/>
                <w:i w:val="0"/>
                <w:color w:val="191D23"/>
                <w:sz w:val="17"/>
              </w:rPr>
              <w:t>Matrícula, generación de cuotas, descuentos por convenio y recargos.</w:t>
            </w:r>
          </w:p>
        </w:tc>
        <w:tc>
          <w:tcPr>
            <w:tcW w:type="dxa" w:w="3888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15" w:type="dxa"/>
              <w:start w:w="140" w:type="dxa"/>
              <w:bottom w:w="115" w:type="dxa"/>
              <w:end w:w="140" w:type="dxa"/>
            </w:tcMar>
          </w:tcPr>
          <w:p>
            <w:pPr>
              <w:jc w:val="left"/>
            </w:pPr>
            <w:r>
              <w:rPr>
                <w:rFonts w:ascii="DM Sans" w:hAnsi="DM Sans"/>
                <w:b w:val="0"/>
                <w:i w:val="0"/>
                <w:color w:val="191D23"/>
                <w:sz w:val="17"/>
              </w:rPr>
              <w:t>Menos carga manual y deuda más visible.</w:t>
            </w:r>
          </w:p>
        </w:tc>
      </w:tr>
      <w:tr>
        <w:tc>
          <w:tcPr>
            <w:tcW w:type="dxa" w:w="792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15" w:type="dxa"/>
              <w:start w:w="140" w:type="dxa"/>
              <w:bottom w:w="115" w:type="dxa"/>
              <w:end w:w="140" w:type="dxa"/>
            </w:tcMar>
          </w:tcPr>
          <w:p>
            <w:pPr>
              <w:jc w:val="center"/>
            </w:pPr>
            <w:r>
              <w:rPr>
                <w:rFonts w:ascii="DM Sans" w:hAnsi="DM Sans"/>
                <w:b/>
                <w:i w:val="0"/>
                <w:color w:val="191D23"/>
                <w:sz w:val="17"/>
              </w:rPr>
              <w:t>3</w:t>
            </w:r>
          </w:p>
        </w:tc>
        <w:tc>
          <w:tcPr>
            <w:tcW w:type="dxa" w:w="4680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15" w:type="dxa"/>
              <w:start w:w="140" w:type="dxa"/>
              <w:bottom w:w="115" w:type="dxa"/>
              <w:end w:w="140" w:type="dxa"/>
            </w:tcMar>
          </w:tcPr>
          <w:p>
            <w:pPr>
              <w:jc w:val="left"/>
            </w:pPr>
            <w:r>
              <w:rPr>
                <w:rFonts w:ascii="DM Sans" w:hAnsi="DM Sans"/>
                <w:b w:val="0"/>
                <w:i w:val="0"/>
                <w:color w:val="191D23"/>
                <w:sz w:val="17"/>
              </w:rPr>
              <w:t>Pagos, pagos a cuenta, estado de cuenta del alumno y reportes de deuda.</w:t>
            </w:r>
          </w:p>
        </w:tc>
        <w:tc>
          <w:tcPr>
            <w:tcW w:type="dxa" w:w="3888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15" w:type="dxa"/>
              <w:start w:w="140" w:type="dxa"/>
              <w:bottom w:w="115" w:type="dxa"/>
              <w:end w:w="140" w:type="dxa"/>
            </w:tcMar>
          </w:tcPr>
          <w:p>
            <w:pPr>
              <w:jc w:val="left"/>
            </w:pPr>
            <w:r>
              <w:rPr>
                <w:rFonts w:ascii="DM Sans" w:hAnsi="DM Sans"/>
                <w:b w:val="0"/>
                <w:i w:val="0"/>
                <w:color w:val="191D23"/>
                <w:sz w:val="17"/>
              </w:rPr>
              <w:t>Mejor control de cobranzas y consultas más rápidas.</w:t>
            </w:r>
          </w:p>
        </w:tc>
      </w:tr>
      <w:tr>
        <w:tc>
          <w:tcPr>
            <w:tcW w:type="dxa" w:w="792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15" w:type="dxa"/>
              <w:start w:w="140" w:type="dxa"/>
              <w:bottom w:w="115" w:type="dxa"/>
              <w:end w:w="140" w:type="dxa"/>
            </w:tcMar>
          </w:tcPr>
          <w:p>
            <w:pPr>
              <w:jc w:val="center"/>
            </w:pPr>
            <w:r>
              <w:rPr>
                <w:rFonts w:ascii="DM Sans" w:hAnsi="DM Sans"/>
                <w:b/>
                <w:i w:val="0"/>
                <w:color w:val="191D23"/>
                <w:sz w:val="17"/>
              </w:rPr>
              <w:t>4</w:t>
            </w:r>
          </w:p>
        </w:tc>
        <w:tc>
          <w:tcPr>
            <w:tcW w:type="dxa" w:w="4680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15" w:type="dxa"/>
              <w:start w:w="140" w:type="dxa"/>
              <w:bottom w:w="115" w:type="dxa"/>
              <w:end w:w="140" w:type="dxa"/>
            </w:tcMar>
          </w:tcPr>
          <w:p>
            <w:pPr>
              <w:jc w:val="left"/>
            </w:pPr>
            <w:r>
              <w:rPr>
                <w:rFonts w:ascii="DM Sans" w:hAnsi="DM Sans"/>
                <w:b w:val="0"/>
                <w:i w:val="0"/>
                <w:color w:val="191D23"/>
                <w:sz w:val="17"/>
              </w:rPr>
              <w:t>Caja por usuario/sucursal, ingresos, egresos, retiros, pases y cierre.</w:t>
            </w:r>
          </w:p>
        </w:tc>
        <w:tc>
          <w:tcPr>
            <w:tcW w:type="dxa" w:w="3888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15" w:type="dxa"/>
              <w:start w:w="140" w:type="dxa"/>
              <w:bottom w:w="115" w:type="dxa"/>
              <w:end w:w="140" w:type="dxa"/>
            </w:tcMar>
          </w:tcPr>
          <w:p>
            <w:pPr>
              <w:jc w:val="left"/>
            </w:pPr>
            <w:r>
              <w:rPr>
                <w:rFonts w:ascii="DM Sans" w:hAnsi="DM Sans"/>
                <w:b w:val="0"/>
                <w:i w:val="0"/>
                <w:color w:val="191D23"/>
                <w:sz w:val="17"/>
              </w:rPr>
              <w:t>Control interno diario y menos dependencia de una sola máquina.</w:t>
            </w:r>
          </w:p>
        </w:tc>
      </w:tr>
      <w:tr>
        <w:tc>
          <w:tcPr>
            <w:tcW w:type="dxa" w:w="792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15" w:type="dxa"/>
              <w:start w:w="140" w:type="dxa"/>
              <w:bottom w:w="115" w:type="dxa"/>
              <w:end w:w="140" w:type="dxa"/>
            </w:tcMar>
          </w:tcPr>
          <w:p>
            <w:pPr>
              <w:jc w:val="center"/>
            </w:pPr>
            <w:r>
              <w:rPr>
                <w:rFonts w:ascii="DM Sans" w:hAnsi="DM Sans"/>
                <w:b/>
                <w:i w:val="0"/>
                <w:color w:val="191D23"/>
                <w:sz w:val="17"/>
              </w:rPr>
              <w:t>5</w:t>
            </w:r>
          </w:p>
        </w:tc>
        <w:tc>
          <w:tcPr>
            <w:tcW w:type="dxa" w:w="4680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15" w:type="dxa"/>
              <w:start w:w="140" w:type="dxa"/>
              <w:bottom w:w="115" w:type="dxa"/>
              <w:end w:w="140" w:type="dxa"/>
            </w:tcMar>
          </w:tcPr>
          <w:p>
            <w:pPr>
              <w:jc w:val="left"/>
            </w:pPr>
            <w:r>
              <w:rPr>
                <w:rFonts w:ascii="DM Sans" w:hAnsi="DM Sans"/>
                <w:b w:val="0"/>
                <w:i w:val="0"/>
                <w:color w:val="191D23"/>
                <w:sz w:val="17"/>
              </w:rPr>
              <w:t>Recibos, exportaciones Excel/PDF, migración inicial y ajustes con datos reales.</w:t>
            </w:r>
          </w:p>
        </w:tc>
        <w:tc>
          <w:tcPr>
            <w:tcW w:type="dxa" w:w="3888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15" w:type="dxa"/>
              <w:start w:w="140" w:type="dxa"/>
              <w:bottom w:w="115" w:type="dxa"/>
              <w:end w:w="140" w:type="dxa"/>
            </w:tcMar>
          </w:tcPr>
          <w:p>
            <w:pPr>
              <w:jc w:val="left"/>
            </w:pPr>
            <w:r>
              <w:rPr>
                <w:rFonts w:ascii="DM Sans" w:hAnsi="DM Sans"/>
                <w:b w:val="0"/>
                <w:i w:val="0"/>
                <w:color w:val="191D23"/>
                <w:sz w:val="17"/>
              </w:rPr>
              <w:t>Operación más completa y reportes utilizables por administración.</w:t>
            </w:r>
          </w:p>
        </w:tc>
      </w:tr>
      <w:tr>
        <w:tc>
          <w:tcPr>
            <w:tcW w:type="dxa" w:w="792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15" w:type="dxa"/>
              <w:start w:w="140" w:type="dxa"/>
              <w:bottom w:w="115" w:type="dxa"/>
              <w:end w:w="140" w:type="dxa"/>
            </w:tcMar>
          </w:tcPr>
          <w:p>
            <w:pPr>
              <w:jc w:val="center"/>
            </w:pPr>
            <w:r>
              <w:rPr>
                <w:rFonts w:ascii="DM Sans" w:hAnsi="DM Sans"/>
                <w:b/>
                <w:i w:val="0"/>
                <w:color w:val="191D23"/>
                <w:sz w:val="17"/>
              </w:rPr>
              <w:t>6+</w:t>
            </w:r>
          </w:p>
        </w:tc>
        <w:tc>
          <w:tcPr>
            <w:tcW w:type="dxa" w:w="4680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15" w:type="dxa"/>
              <w:start w:w="140" w:type="dxa"/>
              <w:bottom w:w="115" w:type="dxa"/>
              <w:end w:w="140" w:type="dxa"/>
            </w:tcMar>
          </w:tcPr>
          <w:p>
            <w:pPr>
              <w:jc w:val="left"/>
            </w:pPr>
            <w:r>
              <w:rPr>
                <w:rFonts w:ascii="DM Sans" w:hAnsi="DM Sans"/>
                <w:b w:val="0"/>
                <w:i w:val="0"/>
                <w:color w:val="191D23"/>
                <w:sz w:val="17"/>
              </w:rPr>
              <w:t>ARCA, Mercado Pago, conciliación, tablero o mejoras priorizadas.</w:t>
            </w:r>
          </w:p>
        </w:tc>
        <w:tc>
          <w:tcPr>
            <w:tcW w:type="dxa" w:w="3888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15" w:type="dxa"/>
              <w:start w:w="140" w:type="dxa"/>
              <w:bottom w:w="115" w:type="dxa"/>
              <w:end w:w="140" w:type="dxa"/>
            </w:tcMar>
          </w:tcPr>
          <w:p>
            <w:pPr>
              <w:jc w:val="left"/>
            </w:pPr>
            <w:r>
              <w:rPr>
                <w:rFonts w:ascii="DM Sans" w:hAnsi="DM Sans"/>
                <w:b w:val="0"/>
                <w:i w:val="0"/>
                <w:color w:val="191D23"/>
                <w:sz w:val="17"/>
              </w:rPr>
              <w:t>Evolución según uso real y prioridades de dirección.</w:t>
            </w:r>
          </w:p>
        </w:tc>
      </w:tr>
    </w:tbl>
    <w:p>
      <w:pPr>
        <w:spacing w:after="40"/>
      </w:pPr>
    </w:p>
    <w:p>
      <w:pPr>
        <w:spacing w:before="0" w:after="120" w:line="269" w:lineRule="auto"/>
      </w:pPr>
      <w:r>
        <w:rPr>
          <w:rFonts w:ascii="DM Sans" w:hAnsi="DM Sans"/>
          <w:b w:val="0"/>
          <w:i/>
          <w:color w:val="546376"/>
          <w:sz w:val="19"/>
        </w:rPr>
        <w:t>Los plazos pueden ajustarse según la disponibilidad de datos reales, definiciones del equipo IPAC y complejidad de integraciones externas.</w:t>
      </w:r>
    </w:p>
    <w:p>
      <w:pPr>
        <w:spacing w:before="280" w:after="100"/>
      </w:pPr>
      <w:r>
        <w:rPr>
          <w:rFonts w:ascii="Syne" w:hAnsi="Syne"/>
          <w:b/>
          <w:i w:val="0"/>
          <w:color w:val="0F2A44"/>
          <w:sz w:val="33"/>
        </w:rPr>
        <w:t>7. Inversión y abono mensual</w:t>
      </w:r>
    </w:p>
    <w:p>
      <w:pPr>
        <w:spacing w:before="0" w:after="120" w:line="269" w:lineRule="auto"/>
      </w:pPr>
      <w:r>
        <w:rPr>
          <w:rFonts w:ascii="DM Sans" w:hAnsi="DM Sans"/>
          <w:b w:val="0"/>
          <w:i w:val="0"/>
          <w:color w:val="191D23"/>
          <w:sz w:val="21"/>
        </w:rPr>
        <w:t>Se propone una contratación con puesta en marcha inicial y luego abono mensual. Este modelo permite avanzar de manera constante sin exigir una inversión inicial de sistema completo cerrado.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8FAFC"/>
            <w:tcBorders>
              <w:top w:val="single" w:sz="8" w:space="0" w:color="F2A900"/>
              <w:left w:val="single" w:sz="8" w:space="0" w:color="F2A900"/>
              <w:bottom w:val="single" w:sz="8" w:space="0" w:color="F2A900"/>
              <w:right w:val="single" w:sz="8" w:space="0" w:color="F2A900"/>
              <w:insideH w:val="single" w:sz="8" w:space="0" w:color="F2A900"/>
              <w:insideV w:val="single" w:sz="8" w:space="0" w:color="F2A900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DM Sans" w:hAnsi="DM Sans"/>
                <w:b/>
                <w:i w:val="0"/>
                <w:color w:val="0F2A44"/>
                <w:sz w:val="20"/>
              </w:rPr>
              <w:t>Puesta en marcha inicial</w:t>
            </w:r>
          </w:p>
          <w:p>
            <w:pPr>
              <w:spacing w:after="0"/>
            </w:pPr>
            <w:r>
              <w:rPr>
                <w:rFonts w:ascii="DM Sans" w:hAnsi="DM Sans"/>
                <w:b w:val="0"/>
                <w:i w:val="0"/>
                <w:color w:val="191D23"/>
                <w:sz w:val="19"/>
              </w:rPr>
              <w:t>$400.000 por única vez. Incluye preparación del entorno, servidor, base técnica, estructura inicial del sistema, backups, configuración de acceso y planificación del backlog.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1800"/>
            <w:shd w:fill="0F2A44"/>
            <w:tcBorders>
              <w:top w:val="single" w:sz="6" w:space="0" w:color="0F2A44"/>
              <w:left w:val="single" w:sz="6" w:space="0" w:color="0F2A44"/>
              <w:bottom w:val="single" w:sz="6" w:space="0" w:color="0F2A44"/>
              <w:right w:val="single" w:sz="6" w:space="0" w:color="0F2A44"/>
              <w:insideH w:val="single" w:sz="6" w:space="0" w:color="0F2A44"/>
              <w:insideV w:val="single" w:sz="6" w:space="0" w:color="0F2A44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DM Sans" w:hAnsi="DM Sans"/>
                <w:b/>
                <w:i w:val="0"/>
                <w:color w:val="FFFFFF"/>
                <w:sz w:val="18"/>
              </w:rPr>
              <w:t>Plan</w:t>
            </w:r>
          </w:p>
        </w:tc>
        <w:tc>
          <w:tcPr>
            <w:tcW w:type="dxa" w:w="1944"/>
            <w:shd w:fill="0F2A44"/>
            <w:tcBorders>
              <w:top w:val="single" w:sz="6" w:space="0" w:color="0F2A44"/>
              <w:left w:val="single" w:sz="6" w:space="0" w:color="0F2A44"/>
              <w:bottom w:val="single" w:sz="6" w:space="0" w:color="0F2A44"/>
              <w:right w:val="single" w:sz="6" w:space="0" w:color="0F2A44"/>
              <w:insideH w:val="single" w:sz="6" w:space="0" w:color="0F2A44"/>
              <w:insideV w:val="single" w:sz="6" w:space="0" w:color="0F2A44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DM Sans" w:hAnsi="DM Sans"/>
                <w:b/>
                <w:i w:val="0"/>
                <w:color w:val="FFFFFF"/>
                <w:sz w:val="18"/>
              </w:rPr>
              <w:t>Abono mensual</w:t>
            </w:r>
          </w:p>
        </w:tc>
        <w:tc>
          <w:tcPr>
            <w:tcW w:type="dxa" w:w="1944"/>
            <w:shd w:fill="0F2A44"/>
            <w:tcBorders>
              <w:top w:val="single" w:sz="6" w:space="0" w:color="0F2A44"/>
              <w:left w:val="single" w:sz="6" w:space="0" w:color="0F2A44"/>
              <w:bottom w:val="single" w:sz="6" w:space="0" w:color="0F2A44"/>
              <w:right w:val="single" w:sz="6" w:space="0" w:color="0F2A44"/>
              <w:insideH w:val="single" w:sz="6" w:space="0" w:color="0F2A44"/>
              <w:insideV w:val="single" w:sz="6" w:space="0" w:color="0F2A44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DM Sans" w:hAnsi="DM Sans"/>
                <w:b/>
                <w:i w:val="0"/>
                <w:color w:val="FFFFFF"/>
                <w:sz w:val="18"/>
              </w:rPr>
              <w:t>Horas incluidas</w:t>
            </w:r>
          </w:p>
        </w:tc>
        <w:tc>
          <w:tcPr>
            <w:tcW w:type="dxa" w:w="3671"/>
            <w:shd w:fill="0F2A44"/>
            <w:tcBorders>
              <w:top w:val="single" w:sz="6" w:space="0" w:color="0F2A44"/>
              <w:left w:val="single" w:sz="6" w:space="0" w:color="0F2A44"/>
              <w:bottom w:val="single" w:sz="6" w:space="0" w:color="0F2A44"/>
              <w:right w:val="single" w:sz="6" w:space="0" w:color="0F2A44"/>
              <w:insideH w:val="single" w:sz="6" w:space="0" w:color="0F2A44"/>
              <w:insideV w:val="single" w:sz="6" w:space="0" w:color="0F2A44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DM Sans" w:hAnsi="DM Sans"/>
                <w:b/>
                <w:i w:val="0"/>
                <w:color w:val="FFFFFF"/>
                <w:sz w:val="18"/>
              </w:rPr>
              <w:t>Uso recomendado</w:t>
            </w:r>
          </w:p>
        </w:tc>
      </w:tr>
      <w:tr>
        <w:tc>
          <w:tcPr>
            <w:tcW w:type="dxa" w:w="1800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DM Sans" w:hAnsi="DM Sans"/>
                <w:b w:val="0"/>
                <w:i w:val="0"/>
                <w:color w:val="191D23"/>
                <w:sz w:val="18"/>
              </w:rPr>
              <w:t>Inicial</w:t>
            </w:r>
          </w:p>
        </w:tc>
        <w:tc>
          <w:tcPr>
            <w:tcW w:type="dxa" w:w="1944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DM Sans" w:hAnsi="DM Sans"/>
                <w:b w:val="0"/>
                <w:i w:val="0"/>
                <w:color w:val="191D23"/>
                <w:sz w:val="18"/>
              </w:rPr>
              <w:t>$250.000</w:t>
            </w:r>
          </w:p>
        </w:tc>
        <w:tc>
          <w:tcPr>
            <w:tcW w:type="dxa" w:w="1944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DM Sans" w:hAnsi="DM Sans"/>
                <w:b w:val="0"/>
                <w:i w:val="0"/>
                <w:color w:val="191D23"/>
                <w:sz w:val="18"/>
              </w:rPr>
              <w:t>Hasta 10 h/mes</w:t>
            </w:r>
          </w:p>
        </w:tc>
        <w:tc>
          <w:tcPr>
            <w:tcW w:type="dxa" w:w="3671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DM Sans" w:hAnsi="DM Sans"/>
                <w:b w:val="0"/>
                <w:i w:val="0"/>
                <w:color w:val="191D23"/>
                <w:sz w:val="18"/>
              </w:rPr>
              <w:t>Avance gradual y soporte básico.</w:t>
            </w:r>
          </w:p>
        </w:tc>
      </w:tr>
      <w:tr>
        <w:tc>
          <w:tcPr>
            <w:tcW w:type="dxa" w:w="1800"/>
            <w:shd w:fill="EAF3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DM Sans" w:hAnsi="DM Sans"/>
                <w:b/>
                <w:i w:val="0"/>
                <w:color w:val="191D23"/>
                <w:sz w:val="18"/>
              </w:rPr>
              <w:t>Recomendado</w:t>
            </w:r>
          </w:p>
        </w:tc>
        <w:tc>
          <w:tcPr>
            <w:tcW w:type="dxa" w:w="1944"/>
            <w:shd w:fill="EAF3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DM Sans" w:hAnsi="DM Sans"/>
                <w:b/>
                <w:i w:val="0"/>
                <w:color w:val="191D23"/>
                <w:sz w:val="18"/>
              </w:rPr>
              <w:t>$350.000</w:t>
            </w:r>
          </w:p>
        </w:tc>
        <w:tc>
          <w:tcPr>
            <w:tcW w:type="dxa" w:w="1944"/>
            <w:shd w:fill="EAF3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DM Sans" w:hAnsi="DM Sans"/>
                <w:b w:val="0"/>
                <w:i w:val="0"/>
                <w:color w:val="191D23"/>
                <w:sz w:val="18"/>
              </w:rPr>
              <w:t>Hasta 15 h/mes</w:t>
            </w:r>
          </w:p>
        </w:tc>
        <w:tc>
          <w:tcPr>
            <w:tcW w:type="dxa" w:w="3671"/>
            <w:shd w:fill="EAF3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DM Sans" w:hAnsi="DM Sans"/>
                <w:b w:val="0"/>
                <w:i w:val="0"/>
                <w:color w:val="191D23"/>
                <w:sz w:val="18"/>
              </w:rPr>
              <w:t>Equilibrio entre avance mensual, soporte y costo.</w:t>
            </w:r>
          </w:p>
        </w:tc>
      </w:tr>
      <w:tr>
        <w:tc>
          <w:tcPr>
            <w:tcW w:type="dxa" w:w="1800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DM Sans" w:hAnsi="DM Sans"/>
                <w:b w:val="0"/>
                <w:i w:val="0"/>
                <w:color w:val="191D23"/>
                <w:sz w:val="18"/>
              </w:rPr>
              <w:t>Avanzado</w:t>
            </w:r>
          </w:p>
        </w:tc>
        <w:tc>
          <w:tcPr>
            <w:tcW w:type="dxa" w:w="1944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DM Sans" w:hAnsi="DM Sans"/>
                <w:b w:val="0"/>
                <w:i w:val="0"/>
                <w:color w:val="191D23"/>
                <w:sz w:val="18"/>
              </w:rPr>
              <w:t>$500.000</w:t>
            </w:r>
          </w:p>
        </w:tc>
        <w:tc>
          <w:tcPr>
            <w:tcW w:type="dxa" w:w="1944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DM Sans" w:hAnsi="DM Sans"/>
                <w:b w:val="0"/>
                <w:i w:val="0"/>
                <w:color w:val="191D23"/>
                <w:sz w:val="18"/>
              </w:rPr>
              <w:t>Hasta 25 h/mes</w:t>
            </w:r>
          </w:p>
        </w:tc>
        <w:tc>
          <w:tcPr>
            <w:tcW w:type="dxa" w:w="3671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DM Sans" w:hAnsi="DM Sans"/>
                <w:b w:val="0"/>
                <w:i w:val="0"/>
                <w:color w:val="191D23"/>
                <w:sz w:val="18"/>
              </w:rPr>
              <w:t>Mayor velocidad de implementación y ajustes.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EAF3FF"/>
            <w:tcBorders>
              <w:top w:val="single" w:sz="8" w:space="0" w:color="8BC5FF"/>
              <w:left w:val="single" w:sz="8" w:space="0" w:color="8BC5FF"/>
              <w:bottom w:val="single" w:sz="8" w:space="0" w:color="8BC5FF"/>
              <w:right w:val="single" w:sz="8" w:space="0" w:color="8BC5FF"/>
              <w:insideH w:val="single" w:sz="8" w:space="0" w:color="8BC5FF"/>
              <w:insideV w:val="single" w:sz="8" w:space="0" w:color="8BC5FF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DM Sans" w:hAnsi="DM Sans"/>
                <w:b/>
                <w:i w:val="0"/>
                <w:color w:val="0F2A44"/>
                <w:sz w:val="20"/>
              </w:rPr>
              <w:t>Plan recomendado</w:t>
            </w:r>
          </w:p>
          <w:p>
            <w:pPr>
              <w:spacing w:after="0"/>
            </w:pPr>
            <w:r>
              <w:rPr>
                <w:rFonts w:ascii="DM Sans" w:hAnsi="DM Sans"/>
                <w:b w:val="0"/>
                <w:i w:val="0"/>
                <w:color w:val="191D23"/>
                <w:sz w:val="19"/>
              </w:rPr>
              <w:t>Para IPAC se recomienda el plan de $350.000 mensuales, con hasta 15 horas por mes. Es el punto más equilibrado para avanzar sin sobredimensionar el costo.</w:t>
            </w:r>
          </w:p>
        </w:tc>
      </w:tr>
    </w:tbl>
    <w:p>
      <w:pPr>
        <w:spacing w:after="40"/>
      </w:pPr>
    </w:p>
    <w:p>
      <w:pPr>
        <w:spacing w:before="280" w:after="100"/>
      </w:pPr>
      <w:r>
        <w:rPr>
          <w:rFonts w:ascii="Syne" w:hAnsi="Syne"/>
          <w:b/>
          <w:i w:val="0"/>
          <w:color w:val="0F2A44"/>
          <w:sz w:val="33"/>
        </w:rPr>
        <w:t>8. Servidor incluido</w:t>
      </w:r>
    </w:p>
    <w:p>
      <w:pPr>
        <w:spacing w:before="0" w:after="120" w:line="269" w:lineRule="auto"/>
      </w:pPr>
      <w:r>
        <w:rPr>
          <w:rFonts w:ascii="DM Sans" w:hAnsi="DM Sans"/>
          <w:b w:val="0"/>
          <w:i w:val="0"/>
          <w:color w:val="191D23"/>
          <w:sz w:val="21"/>
        </w:rPr>
        <w:t>El abono incluye alojamiento en servidor cloud administrado, certificado SSL, mantenimiento técnico básico y copias de seguridad periódicas.</w:t>
      </w:r>
    </w:p>
    <w:p>
      <w:pPr>
        <w:pStyle w:val="ListBullet"/>
        <w:spacing w:after="60" w:line="264" w:lineRule="auto"/>
      </w:pPr>
      <w:r>
        <w:rPr>
          <w:rFonts w:ascii="DM Sans" w:hAnsi="DM Sans"/>
          <w:b w:val="0"/>
          <w:i w:val="0"/>
          <w:color w:val="191D23"/>
          <w:sz w:val="20"/>
        </w:rPr>
        <w:t>Recursos iniciales equivalentes a 4 vCPU, 8 GB RAM, 30 GB NVMe y transferencia suficiente para el uso institucional previsto.</w:t>
      </w:r>
    </w:p>
    <w:p>
      <w:pPr>
        <w:pStyle w:val="ListBullet"/>
        <w:spacing w:after="60" w:line="264" w:lineRule="auto"/>
      </w:pPr>
      <w:r>
        <w:rPr>
          <w:rFonts w:ascii="DM Sans" w:hAnsi="DM Sans"/>
          <w:b w:val="0"/>
          <w:i w:val="0"/>
          <w:color w:val="191D23"/>
          <w:sz w:val="20"/>
        </w:rPr>
        <w:t>El valor contempla la tarifa promocional vigente del proveedor durante el primer año; luego, una variación significativa podrá trasladarse previa comunicación.</w:t>
      </w:r>
    </w:p>
    <w:p>
      <w:pPr>
        <w:pStyle w:val="ListBullet"/>
        <w:spacing w:after="60" w:line="264" w:lineRule="auto"/>
      </w:pPr>
      <w:r>
        <w:rPr>
          <w:rFonts w:ascii="DM Sans" w:hAnsi="DM Sans"/>
          <w:b w:val="0"/>
          <w:i w:val="0"/>
          <w:color w:val="191D23"/>
          <w:sz w:val="20"/>
        </w:rPr>
        <w:t>Si el crecimiento requiere más almacenamiento, tráfico o capacidad, se informará antes de modificar el costo.</w:t>
      </w:r>
    </w:p>
    <w:p>
      <w:r>
        <w:br w:type="page"/>
      </w:r>
    </w:p>
    <w:p>
      <w:pPr>
        <w:spacing w:before="280" w:after="100"/>
      </w:pPr>
      <w:r>
        <w:rPr>
          <w:rFonts w:ascii="Syne" w:hAnsi="Syne"/>
          <w:b/>
          <w:i w:val="0"/>
          <w:color w:val="0F2A44"/>
          <w:sz w:val="33"/>
        </w:rPr>
        <w:t>9. Alcance sujeto a validación</w:t>
      </w:r>
    </w:p>
    <w:p>
      <w:pPr>
        <w:spacing w:before="0" w:after="120" w:line="269" w:lineRule="auto"/>
      </w:pPr>
      <w:r>
        <w:rPr>
          <w:rFonts w:ascii="DM Sans" w:hAnsi="DM Sans"/>
          <w:b w:val="0"/>
          <w:i w:val="0"/>
          <w:color w:val="191D23"/>
          <w:sz w:val="21"/>
        </w:rPr>
        <w:t>Los siguientes puntos forman parte del roadmap, pero requieren materiales y validación técnica antes de comprometer fecha cerrada:</w:t>
      </w:r>
    </w:p>
    <w:p>
      <w:pPr>
        <w:pStyle w:val="ListBullet"/>
        <w:spacing w:after="60" w:line="264" w:lineRule="auto"/>
      </w:pPr>
      <w:r>
        <w:rPr>
          <w:rFonts w:ascii="DM Sans" w:hAnsi="DM Sans"/>
          <w:b w:val="0"/>
          <w:i w:val="0"/>
          <w:color w:val="191D23"/>
          <w:sz w:val="20"/>
        </w:rPr>
        <w:t>Migración completa desde Excel: requiere exportaciones reales o anonimizadas de alumnos, cuotas, pagos, conceptos y saldos.</w:t>
      </w:r>
    </w:p>
    <w:p>
      <w:pPr>
        <w:pStyle w:val="ListBullet"/>
        <w:spacing w:after="60" w:line="264" w:lineRule="auto"/>
      </w:pPr>
      <w:r>
        <w:rPr>
          <w:rFonts w:ascii="DM Sans" w:hAnsi="DM Sans"/>
          <w:b w:val="0"/>
          <w:i w:val="0"/>
          <w:color w:val="191D23"/>
          <w:sz w:val="20"/>
        </w:rPr>
        <w:t>Factura ARCA: requiere CUIT, punto de venta, certificados, condición fiscal, ejemplos de comprobantes y definición de permisos.</w:t>
      </w:r>
    </w:p>
    <w:p>
      <w:pPr>
        <w:pStyle w:val="ListBullet"/>
        <w:spacing w:after="60" w:line="264" w:lineRule="auto"/>
      </w:pPr>
      <w:r>
        <w:rPr>
          <w:rFonts w:ascii="DM Sans" w:hAnsi="DM Sans"/>
          <w:b w:val="0"/>
          <w:i w:val="0"/>
          <w:color w:val="191D23"/>
          <w:sz w:val="20"/>
        </w:rPr>
        <w:t>Mercado Pago y QR: requiere credenciales, modalidad de cobro, política de comisiones y definición de conciliación.</w:t>
      </w:r>
    </w:p>
    <w:p>
      <w:pPr>
        <w:pStyle w:val="ListBullet"/>
        <w:spacing w:after="60" w:line="264" w:lineRule="auto"/>
      </w:pPr>
      <w:r>
        <w:rPr>
          <w:rFonts w:ascii="DM Sans" w:hAnsi="DM Sans"/>
          <w:b w:val="0"/>
          <w:i w:val="0"/>
          <w:color w:val="191D23"/>
          <w:sz w:val="20"/>
        </w:rPr>
        <w:t>Portal del alumno, responsable y gestión pedagógica/académica: recomendados para etapas futuras, luego de estabilizar administración y cobranzas.</w:t>
      </w:r>
    </w:p>
    <w:p>
      <w:pPr>
        <w:spacing w:before="280" w:after="100"/>
      </w:pPr>
      <w:r>
        <w:rPr>
          <w:rFonts w:ascii="Syne" w:hAnsi="Syne"/>
          <w:b/>
          <w:i w:val="0"/>
          <w:color w:val="0F2A44"/>
          <w:sz w:val="33"/>
        </w:rPr>
        <w:t>10. Materiales necesarios para iniciar</w:t>
      </w:r>
    </w:p>
    <w:p>
      <w:pPr>
        <w:pStyle w:val="ListBullet"/>
        <w:spacing w:after="60" w:line="264" w:lineRule="auto"/>
      </w:pPr>
      <w:r>
        <w:rPr>
          <w:rFonts w:ascii="DM Sans" w:hAnsi="DM Sans"/>
          <w:b w:val="0"/>
          <w:i w:val="0"/>
          <w:color w:val="191D23"/>
          <w:sz w:val="20"/>
        </w:rPr>
        <w:t>Capturas del sistema actual.</w:t>
      </w:r>
    </w:p>
    <w:p>
      <w:pPr>
        <w:pStyle w:val="ListBullet"/>
        <w:spacing w:after="60" w:line="264" w:lineRule="auto"/>
      </w:pPr>
      <w:r>
        <w:rPr>
          <w:rFonts w:ascii="DM Sans" w:hAnsi="DM Sans"/>
          <w:b w:val="0"/>
          <w:i w:val="0"/>
          <w:color w:val="191D23"/>
          <w:sz w:val="20"/>
        </w:rPr>
        <w:t>Ejemplo de ficha de alumno.</w:t>
      </w:r>
    </w:p>
    <w:p>
      <w:pPr>
        <w:pStyle w:val="ListBullet"/>
        <w:spacing w:after="60" w:line="264" w:lineRule="auto"/>
      </w:pPr>
      <w:r>
        <w:rPr>
          <w:rFonts w:ascii="DM Sans" w:hAnsi="DM Sans"/>
          <w:b w:val="0"/>
          <w:i w:val="0"/>
          <w:color w:val="191D23"/>
          <w:sz w:val="20"/>
        </w:rPr>
        <w:t>Ejemplo de cuota, estado de cuenta y recibo.</w:t>
      </w:r>
    </w:p>
    <w:p>
      <w:pPr>
        <w:pStyle w:val="ListBullet"/>
        <w:spacing w:after="60" w:line="264" w:lineRule="auto"/>
      </w:pPr>
      <w:r>
        <w:rPr>
          <w:rFonts w:ascii="DM Sans" w:hAnsi="DM Sans"/>
          <w:b w:val="0"/>
          <w:i w:val="0"/>
          <w:color w:val="191D23"/>
          <w:sz w:val="20"/>
        </w:rPr>
        <w:t>Ejemplo de cierre de caja y reportes actuales.</w:t>
      </w:r>
    </w:p>
    <w:p>
      <w:pPr>
        <w:pStyle w:val="ListBullet"/>
        <w:spacing w:after="60" w:line="264" w:lineRule="auto"/>
      </w:pPr>
      <w:r>
        <w:rPr>
          <w:rFonts w:ascii="DM Sans" w:hAnsi="DM Sans"/>
          <w:b w:val="0"/>
          <w:i w:val="0"/>
          <w:color w:val="191D23"/>
          <w:sz w:val="20"/>
        </w:rPr>
        <w:t>Exportación Excel anonimizada de alumnos, cuotas, pagos y conceptos.</w:t>
      </w:r>
    </w:p>
    <w:p>
      <w:pPr>
        <w:pStyle w:val="ListBullet"/>
        <w:spacing w:after="60" w:line="264" w:lineRule="auto"/>
      </w:pPr>
      <w:r>
        <w:rPr>
          <w:rFonts w:ascii="DM Sans" w:hAnsi="DM Sans"/>
          <w:b w:val="0"/>
          <w:i w:val="0"/>
          <w:color w:val="191D23"/>
          <w:sz w:val="20"/>
        </w:rPr>
        <w:t>Listado de usuarios por sucursal y permisos esperados.</w:t>
      </w:r>
    </w:p>
    <w:p>
      <w:pPr>
        <w:pStyle w:val="ListBullet"/>
        <w:spacing w:after="60" w:line="264" w:lineRule="auto"/>
      </w:pPr>
      <w:r>
        <w:rPr>
          <w:rFonts w:ascii="DM Sans" w:hAnsi="DM Sans"/>
          <w:b w:val="0"/>
          <w:i w:val="0"/>
          <w:color w:val="191D23"/>
          <w:sz w:val="20"/>
        </w:rPr>
        <w:t>Datos fiscales y certificados necesarios para ARCA.</w:t>
      </w:r>
    </w:p>
    <w:p>
      <w:pPr>
        <w:pStyle w:val="ListBullet"/>
        <w:spacing w:after="60" w:line="264" w:lineRule="auto"/>
      </w:pPr>
      <w:r>
        <w:rPr>
          <w:rFonts w:ascii="DM Sans" w:hAnsi="DM Sans"/>
          <w:b w:val="0"/>
          <w:i w:val="0"/>
          <w:color w:val="191D23"/>
          <w:sz w:val="20"/>
        </w:rPr>
        <w:t>Información operativa de Mercado Pago, QR o Posnet utilizado actualmente.</w:t>
      </w:r>
    </w:p>
    <w:p>
      <w:pPr>
        <w:spacing w:before="280" w:after="100"/>
      </w:pPr>
      <w:r>
        <w:rPr>
          <w:rFonts w:ascii="Syne" w:hAnsi="Syne"/>
          <w:b/>
          <w:i w:val="0"/>
          <w:color w:val="0F2A44"/>
          <w:sz w:val="33"/>
        </w:rPr>
        <w:t>11. Continuidad luego del período mínimo</w:t>
      </w:r>
    </w:p>
    <w:p>
      <w:pPr>
        <w:spacing w:before="0" w:after="120" w:line="269" w:lineRule="auto"/>
      </w:pPr>
      <w:r>
        <w:rPr>
          <w:rFonts w:ascii="DM Sans" w:hAnsi="DM Sans"/>
          <w:b w:val="0"/>
          <w:i w:val="0"/>
          <w:color w:val="191D23"/>
          <w:sz w:val="21"/>
        </w:rPr>
        <w:t>El abono evolutivo tiene una permanencia mínima recomendada de 6 meses para completar una primera versión operativa y estabilizar el uso. Finalizado ese período, IPAC podrá continuar con el abono de desarrollo y soporte, o pasar a un plan reducido de continuidad operativa para mantener el sistema activo.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8FAFC"/>
            <w:tcBorders>
              <w:top w:val="single" w:sz="8" w:space="0" w:color="F2A900"/>
              <w:left w:val="single" w:sz="8" w:space="0" w:color="F2A900"/>
              <w:bottom w:val="single" w:sz="8" w:space="0" w:color="F2A900"/>
              <w:right w:val="single" w:sz="8" w:space="0" w:color="F2A900"/>
              <w:insideH w:val="single" w:sz="8" w:space="0" w:color="F2A900"/>
              <w:insideV w:val="single" w:sz="8" w:space="0" w:color="F2A900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DM Sans" w:hAnsi="DM Sans"/>
                <w:b/>
                <w:i w:val="0"/>
                <w:color w:val="0F2A44"/>
                <w:sz w:val="20"/>
              </w:rPr>
              <w:t>Plan de continuidad operativa</w:t>
            </w:r>
          </w:p>
          <w:p>
            <w:pPr>
              <w:spacing w:after="0"/>
            </w:pPr>
            <w:r>
              <w:rPr>
                <w:rFonts w:ascii="DM Sans" w:hAnsi="DM Sans"/>
                <w:b w:val="0"/>
                <w:i w:val="0"/>
                <w:color w:val="191D23"/>
                <w:sz w:val="19"/>
              </w:rPr>
              <w:t>$120.000 mensuales. Incluye servidor cloud, certificado SSL, backups, monitoreo básico, mantenimiento técnico mínimo, correcciones críticas menores y soporte operativo limitado. No incluye nuevas funcionalidades, integraciones nuevas, reportes nuevos, soporte intensivo ni urgencias fuera de horario.</w:t>
            </w:r>
          </w:p>
        </w:tc>
      </w:tr>
    </w:tbl>
    <w:p>
      <w:pPr>
        <w:spacing w:after="40"/>
      </w:pPr>
    </w:p>
    <w:p>
      <w:pPr>
        <w:pStyle w:val="ListBullet"/>
        <w:spacing w:after="60" w:line="264" w:lineRule="auto"/>
      </w:pPr>
      <w:r>
        <w:rPr>
          <w:rFonts w:ascii="DM Sans" w:hAnsi="DM Sans"/>
          <w:b w:val="0"/>
          <w:i w:val="0"/>
          <w:color w:val="191D23"/>
          <w:sz w:val="20"/>
        </w:rPr>
        <w:t>Si el cliente no continúa con el abono evolutivo ni contrata continuidad operativa, se coordinará la exportación de la información disponible y la baja ordenada del servicio de hosting.</w:t>
      </w:r>
    </w:p>
    <w:p>
      <w:pPr>
        <w:pStyle w:val="ListBullet"/>
        <w:spacing w:after="60" w:line="264" w:lineRule="auto"/>
      </w:pPr>
      <w:r>
        <w:rPr>
          <w:rFonts w:ascii="DM Sans" w:hAnsi="DM Sans"/>
          <w:b w:val="0"/>
          <w:i w:val="0"/>
          <w:color w:val="191D23"/>
          <w:sz w:val="20"/>
        </w:rPr>
        <w:t>La baja del servicio deberá solicitarse con 30 días de anticipación.</w:t>
      </w:r>
    </w:p>
    <w:p>
      <w:pPr>
        <w:pStyle w:val="ListBullet"/>
        <w:spacing w:after="60" w:line="264" w:lineRule="auto"/>
      </w:pPr>
      <w:r>
        <w:rPr>
          <w:rFonts w:ascii="DM Sans" w:hAnsi="DM Sans"/>
          <w:b w:val="0"/>
          <w:i w:val="0"/>
          <w:color w:val="191D23"/>
          <w:sz w:val="20"/>
        </w:rPr>
        <w:t>La infraestructura permanecerá activa únicamente mientras se encuentre abonado el plan vigente o el plan de continuidad operativa.</w:t>
      </w:r>
    </w:p>
    <w:p>
      <w:r>
        <w:br w:type="page"/>
      </w:r>
    </w:p>
    <w:p>
      <w:pPr>
        <w:spacing w:before="280" w:after="100"/>
      </w:pPr>
      <w:r>
        <w:rPr>
          <w:rFonts w:ascii="Syne" w:hAnsi="Syne"/>
          <w:b/>
          <w:i w:val="0"/>
          <w:color w:val="0F2A44"/>
          <w:sz w:val="33"/>
        </w:rPr>
        <w:t>12. Condiciones comerciales y actualización</w:t>
      </w:r>
    </w:p>
    <w:p>
      <w:pPr>
        <w:pStyle w:val="ListBullet"/>
        <w:spacing w:after="60" w:line="264" w:lineRule="auto"/>
      </w:pPr>
      <w:r>
        <w:rPr>
          <w:rFonts w:ascii="DM Sans" w:hAnsi="DM Sans"/>
          <w:b w:val="0"/>
          <w:i w:val="0"/>
          <w:color w:val="191D23"/>
          <w:sz w:val="20"/>
        </w:rPr>
        <w:t>El abono mensual incluye la bolsa de horas indicada, servidor, mantenimiento técnico básico, backups y soporte razonable.</w:t>
      </w:r>
    </w:p>
    <w:p>
      <w:pPr>
        <w:pStyle w:val="ListBullet"/>
        <w:spacing w:after="60" w:line="264" w:lineRule="auto"/>
      </w:pPr>
      <w:r>
        <w:rPr>
          <w:rFonts w:ascii="DM Sans" w:hAnsi="DM Sans"/>
          <w:b w:val="0"/>
          <w:i w:val="0"/>
          <w:color w:val="191D23"/>
          <w:sz w:val="20"/>
        </w:rPr>
        <w:t>Las horas no utilizadas no se acumulan, salvo acuerdo previo por escrito.</w:t>
      </w:r>
    </w:p>
    <w:p>
      <w:pPr>
        <w:pStyle w:val="ListBullet"/>
        <w:spacing w:after="60" w:line="264" w:lineRule="auto"/>
      </w:pPr>
      <w:r>
        <w:rPr>
          <w:rFonts w:ascii="DM Sans" w:hAnsi="DM Sans"/>
          <w:b w:val="0"/>
          <w:i w:val="0"/>
          <w:color w:val="191D23"/>
          <w:sz w:val="20"/>
        </w:rPr>
        <w:t>Los requerimientos nuevos se priorizan dentro del backlog mensual.</w:t>
      </w:r>
    </w:p>
    <w:p>
      <w:pPr>
        <w:pStyle w:val="ListBullet"/>
        <w:spacing w:after="60" w:line="264" w:lineRule="auto"/>
      </w:pPr>
      <w:r>
        <w:rPr>
          <w:rFonts w:ascii="DM Sans" w:hAnsi="DM Sans"/>
          <w:b w:val="0"/>
          <w:i w:val="0"/>
          <w:color w:val="191D23"/>
          <w:sz w:val="20"/>
        </w:rPr>
        <w:t>Cambios grandes, urgencias fuera de horario, integraciones externas complejas o tareas que excedan la bolsa mensual podrán cotizarse aparte.</w:t>
      </w:r>
    </w:p>
    <w:p>
      <w:pPr>
        <w:pStyle w:val="ListBullet"/>
        <w:spacing w:after="60" w:line="264" w:lineRule="auto"/>
      </w:pPr>
      <w:r>
        <w:rPr>
          <w:rFonts w:ascii="DM Sans" w:hAnsi="DM Sans"/>
          <w:b w:val="0"/>
          <w:i w:val="0"/>
          <w:color w:val="191D23"/>
          <w:sz w:val="20"/>
        </w:rPr>
        <w:t>Los valores expresados en pesos argentinos tendrán actualización trimestral conforme a la variación acumulada del IPC publicado por INDEC.</w:t>
      </w:r>
    </w:p>
    <w:p>
      <w:pPr>
        <w:pStyle w:val="ListBullet"/>
        <w:spacing w:after="60" w:line="264" w:lineRule="auto"/>
      </w:pPr>
      <w:r>
        <w:rPr>
          <w:rFonts w:ascii="DM Sans" w:hAnsi="DM Sans"/>
          <w:b w:val="0"/>
          <w:i w:val="0"/>
          <w:color w:val="191D23"/>
          <w:sz w:val="20"/>
        </w:rPr>
        <w:t>La primera actualización se aplicará al cumplirse tres meses desde el inicio del servicio.</w:t>
      </w:r>
    </w:p>
    <w:p>
      <w:pPr>
        <w:pStyle w:val="ListBullet"/>
        <w:spacing w:after="60" w:line="264" w:lineRule="auto"/>
      </w:pPr>
      <w:r>
        <w:rPr>
          <w:rFonts w:ascii="DM Sans" w:hAnsi="DM Sans"/>
          <w:b w:val="0"/>
          <w:i w:val="0"/>
          <w:color w:val="191D23"/>
          <w:sz w:val="20"/>
        </w:rPr>
        <w:t>La puesta en marcha mantiene su valor por 15 días desde la emisión de la propuesta; vencido ese plazo, podrá actualizarse.</w:t>
      </w:r>
    </w:p>
    <w:p>
      <w:pPr>
        <w:pStyle w:val="ListBullet"/>
        <w:spacing w:after="60" w:line="264" w:lineRule="auto"/>
      </w:pPr>
      <w:r>
        <w:rPr>
          <w:rFonts w:ascii="DM Sans" w:hAnsi="DM Sans"/>
          <w:b w:val="0"/>
          <w:i w:val="0"/>
          <w:color w:val="191D23"/>
          <w:sz w:val="20"/>
        </w:rPr>
        <w:t>Costos extraordinarios de infraestructura, licencias o servicios de terceros no contemplados originalmente podrán trasladarse al abono previa comunicación y justificación.</w:t>
      </w:r>
    </w:p>
    <w:p>
      <w:pPr>
        <w:spacing w:before="280" w:after="100"/>
      </w:pPr>
      <w:r>
        <w:rPr>
          <w:rFonts w:ascii="Syne" w:hAnsi="Syne"/>
          <w:b/>
          <w:i w:val="0"/>
          <w:color w:val="0F2A44"/>
          <w:sz w:val="33"/>
        </w:rPr>
        <w:t>13. Cierre</w:t>
      </w:r>
    </w:p>
    <w:p>
      <w:pPr>
        <w:spacing w:before="0" w:after="120" w:line="269" w:lineRule="auto"/>
      </w:pPr>
      <w:r>
        <w:rPr>
          <w:rFonts w:ascii="DM Sans" w:hAnsi="DM Sans"/>
          <w:b w:val="0"/>
          <w:i w:val="0"/>
          <w:color w:val="191D23"/>
          <w:sz w:val="21"/>
        </w:rPr>
        <w:t>La propuesta busca que IPAC gane control operativo sin esperar un desarrollo enorme antes de usar el sistema. La institución obtiene una plataforma viva, accesible desde ambas sucursales, con entregas mensuales y capacidad de crecer hacia facturación, pagos online, autogestión y gestión académica.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FF7E0"/>
            <w:tcBorders>
              <w:top w:val="single" w:sz="8" w:space="0" w:color="F2A900"/>
              <w:left w:val="single" w:sz="8" w:space="0" w:color="F2A900"/>
              <w:bottom w:val="single" w:sz="8" w:space="0" w:color="F2A900"/>
              <w:right w:val="single" w:sz="8" w:space="0" w:color="F2A900"/>
              <w:insideH w:val="single" w:sz="8" w:space="0" w:color="F2A900"/>
              <w:insideV w:val="single" w:sz="8" w:space="0" w:color="F2A900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DM Sans" w:hAnsi="DM Sans"/>
                <w:b/>
                <w:i w:val="0"/>
                <w:color w:val="0F2A44"/>
                <w:sz w:val="20"/>
              </w:rPr>
              <w:t>Próximo paso sugerido</w:t>
            </w:r>
          </w:p>
          <w:p>
            <w:pPr>
              <w:spacing w:after="0"/>
            </w:pPr>
            <w:r>
              <w:rPr>
                <w:rFonts w:ascii="DM Sans" w:hAnsi="DM Sans"/>
                <w:b w:val="0"/>
                <w:i w:val="0"/>
                <w:color w:val="191D23"/>
                <w:sz w:val="19"/>
              </w:rPr>
              <w:t>Aprobar la puesta en marcha, confirmar el plan mensual recomendado y compartir los materiales iniciales para comenzar con servidor, usuarios, sucursales y estructura de alumnos.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20" w:right="1077" w:bottom="1020" w:left="1077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DM Sans" w:hAnsi="DM Sans"/>
        <w:b w:val="0"/>
        <w:i w:val="0"/>
        <w:color w:val="546376"/>
        <w:sz w:val="16"/>
      </w:rPr>
      <w:t>vogelconsultoria.com.ar  |  oscarvogel@gmail.com  |  3743 667526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342000" cy="342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voge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2000" cy="342000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Syne" w:hAnsi="Syne"/>
        <w:b/>
        <w:i w:val="0"/>
        <w:color w:val="0F2A44"/>
        <w:sz w:val="17"/>
      </w:rPr>
      <w:t xml:space="preserve">  Vogel Consultoría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4" w:lineRule="auto"/>
    </w:pPr>
    <w:rPr>
      <w:rFonts w:ascii="DM Sans" w:hAnsi="DM Sans"/>
      <w:color w:val="191D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