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900"/>
        <w:jc w:val="center"/>
      </w:pPr>
      <w:r>
        <w:drawing>
          <wp:inline distT="0" distB="0" distL="0" distR="0">
            <wp:extent cx="1809750" cy="146685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240"/>
        <w:jc w:val="center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VOGEL CONSULTORÍA</w:t>
      </w:r>
    </w:p>
    <w:p>
      <w:pPr>
        <w:pBdr>
          <w:bottom w:val="single" w:color="1F3864" w:sz="12" w:space="8"/>
        </w:pBdr>
        <w:spacing w:after="520"/>
        <w:jc w:val="center"/>
      </w:pPr>
      <w:r>
        <w:rPr>
          <w:rFonts w:ascii="Arial" w:cs="Arial" w:eastAsia="Arial" w:hAnsi="Arial"/>
          <w:color w:val="595959"/>
          <w:sz w:val="19"/>
          <w:szCs w:val="19"/>
        </w:rPr>
        <w:t xml:space="preserve">Gestión de Servicios — plataforma para talleres de servicio técnico</w:t>
      </w:r>
    </w:p>
    <w:p>
      <w:pPr>
        <w:spacing w:after="100" w:before="380"/>
        <w:jc w:val="center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Propuesta económica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Vogel Gestión de Servicios</w:t>
      </w:r>
    </w:p>
    <w:p>
      <w:pPr>
        <w:spacing w:after="640"/>
        <w:jc w:val="center"/>
      </w:pPr>
      <w:r>
        <w:rPr>
          <w:rFonts w:ascii="Arial" w:cs="Arial" w:eastAsia="Arial" w:hAnsi="Arial"/>
          <w:color w:val="595959"/>
          <w:sz w:val="24"/>
          <w:szCs w:val="24"/>
        </w:rPr>
        <w:t xml:space="preserve">Abono mensual para Electrotecniref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Fecha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27 de octubre de 2026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Vigencia de la propuesta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Hasta el 30 de noviembre de 2026. Pasada esa fecha, los valores se revisan.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Preparada para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Electrotecniref — equipo de administración y taller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Moneda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Abono base en pesos, con ajuste trimestral por IPC. El desarrollo a medida va incluido en el abono.</w:t>
            </w:r>
          </w:p>
        </w:tc>
      </w:tr>
    </w:tbl>
    <w:p>
      <w:pPr>
        <w:spacing w:after="240"/>
      </w:pPr>
    </w:p>
    <w:p>
      <w:pPr>
        <w:spacing w:after="0"/>
        <w:jc w:val="center"/>
      </w:pPr>
      <w:r>
        <w:rPr>
          <w:rFonts w:ascii="Arial" w:cs="Arial" w:eastAsia="Arial" w:hAnsi="Arial"/>
          <w:color w:val="595959"/>
          <w:sz w:val="17"/>
          <w:szCs w:val="17"/>
        </w:rPr>
        <w:t xml:space="preserve">Documento confidencial</w:t>
      </w:r>
    </w:p>
    <w:p>
      <w:r>
        <w:br w:type="page"/>
      </w:r>
    </w:p>
    <w:p>
      <w:pPr>
        <w:spacing w:after="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VOGEL CONSULTORÍA</w:t>
      </w:r>
    </w:p>
    <w:p>
      <w:pPr>
        <w:pBdr>
          <w:bottom w:val="single" w:color="1F3864" w:sz="12" w:space="6"/>
        </w:pBdr>
        <w:spacing w:after="4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Gestión de Servicios — plataforma para talleres de servicio técnico</w:t>
      </w:r>
    </w:p>
    <w:p>
      <w:pPr>
        <w:spacing w:after="20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1. La propuesta en una línea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Un abono mensual de </w:t>
      </w: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ARS 300.000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 por el uso completo de la plataforma, con la puesta en marcha en el primer mes: el mes 1 se factura un único pago de </w:t>
      </w: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ARS 500.000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 y del mes 2 en adelante el abono es de </w:t>
      </w: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ARS 300.000 por mes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. Todo lo que la plataforma hace —órdenes de trabajo, presupuestos, cierre a marcas, catálogo de repuestos contra el ERP propio, envío de avisos por WhatsApp y asistente con IA— está incluido en el abono. Y con el abono vamos implementando sus necesidades a medida que aparecen: el desarrollo a medida es el diferencial.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Concepto</w:t>
            </w:r>
          </w:p>
        </w:tc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Importe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 1: puesta en marcha y primer mes de servicio, en un solo pago</w:t>
            </w:r>
          </w:p>
        </w:tc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ARS 500.000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Abono mensual base (desde el mes 2)</w:t>
            </w:r>
          </w:p>
        </w:tc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ARS 300.000 / mes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Precio de lista del abono</w:t>
            </w:r>
          </w:p>
        </w:tc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ARS 300.000 / mes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Envío de avisos por WhatsApp</w:t>
            </w:r>
          </w:p>
        </w:tc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Incluido, sin costo por mensaje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Asistente con IA</w:t>
            </w:r>
          </w:p>
        </w:tc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Incluido, con límites de consumo a definir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Desarrollo a medida</w:t>
            </w:r>
          </w:p>
        </w:tc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Incluido: con el abono vamos implementando sus necesidades</w:t>
            </w:r>
          </w:p>
        </w:tc>
      </w:tr>
    </w:tbl>
    <w:p>
      <w:pPr>
        <w:spacing w:after="100"/>
      </w:pP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19"/>
          <w:szCs w:val="19"/>
        </w:rPr>
        <w:t xml:space="preserve">El abono no tiene salto de precio por antigüedad: </w:t>
      </w:r>
      <w:r>
        <w:rPr>
          <w:rFonts w:ascii="Arial" w:cs="Arial" w:eastAsia="Arial" w:hAnsi="Arial"/>
          <w:b/>
          <w:bCs/>
          <w:i w:val="false"/>
          <w:iCs w:val="false"/>
          <w:color w:val="595959"/>
          <w:sz w:val="19"/>
          <w:szCs w:val="19"/>
        </w:rPr>
        <w:t xml:space="preserve">ARS 300.000 por mes es su precio de lista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y se ajusta cada trimestre por el IPC (INDEC). El primer año suma </w:t>
      </w:r>
      <w:r>
        <w:rPr>
          <w:rFonts w:ascii="Arial" w:cs="Arial" w:eastAsia="Arial" w:hAnsi="Arial"/>
          <w:b/>
          <w:bCs/>
          <w:i w:val="false"/>
          <w:iCs w:val="false"/>
          <w:color w:val="595959"/>
          <w:sz w:val="19"/>
          <w:szCs w:val="19"/>
        </w:rPr>
        <w:t xml:space="preserve">ARS 3.800.000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(ARS 500.000 del mes 1 más once abonos de ARS 300.000); a partir del segundo año, </w:t>
      </w:r>
      <w:r>
        <w:rPr>
          <w:rFonts w:ascii="Arial" w:cs="Arial" w:eastAsia="Arial" w:hAnsi="Arial"/>
          <w:b/>
          <w:bCs/>
          <w:i w:val="false"/>
          <w:iCs w:val="false"/>
          <w:color w:val="595959"/>
          <w:sz w:val="19"/>
          <w:szCs w:val="19"/>
        </w:rPr>
        <w:t xml:space="preserve">ARS 3.600.000 por año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19"/>
          <w:szCs w:val="19"/>
        </w:rPr>
        <w:t xml:space="preserve">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2. Qué es Vogel Gestión de Servicios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Es una plataforma web para administrar un taller de servicio técnico: orden de trabajo de punta a punta, clientes y equipos, presupuestos, diagnóstico, ejecución, cierre mensual a marcas y liquidación contra cada marca, maestro de técnicos y de áreas, control de acceso por rol, y avisos al cliente por WhatsApp o correo.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No es un producto de catálogo genérico: se construyó sobre el historial real de Electrotecniref. El sistema ya tiene cargado el histórico completo del sistema anterior —56.619 trabajos de 2001 a la fecha— y las cifras del cierre a marcas de junio 2025 dan 123 trabajos y $ 1.675.486,90, idénticas al legacy, al centavo.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La validación no es una estimación: el cierre de junio 2025 se reprodujo contra una consulta escrita a mano sobre la base original, y los números coinciden obra por obra y peso por peso.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Lo que se ve hoy en el entorno de pruebas, con datos reales: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Arial" w:cs="Arial" w:eastAsia="Arial" w:hAnsi="Arial"/>
          <w:sz w:val="21"/>
          <w:szCs w:val="21"/>
        </w:rPr>
        <w:t xml:space="preserve">9.316 órdenes de trabajo migradas, con su diagnóstico, repuestos e intervinientes.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Arial" w:cs="Arial" w:eastAsia="Arial" w:hAnsi="Arial"/>
          <w:sz w:val="21"/>
          <w:szCs w:val="21"/>
        </w:rPr>
        <w:t xml:space="preserve">17.565 clientes con sus equipos y documentación.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Arial" w:cs="Arial" w:eastAsia="Arial" w:hAnsi="Arial"/>
          <w:sz w:val="21"/>
          <w:szCs w:val="21"/>
        </w:rPr>
        <w:t xml:space="preserve">126 áreas de trabajo (marcas) con sus políticas de garantía y plazo.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Arial" w:cs="Arial" w:eastAsia="Arial" w:hAnsi="Arial"/>
          <w:sz w:val="21"/>
          <w:szCs w:val="21"/>
        </w:rPr>
        <w:t xml:space="preserve">34 marcas a las que se liquida mensualmente.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Arial" w:cs="Arial" w:eastAsia="Arial" w:hAnsi="Arial"/>
          <w:sz w:val="21"/>
          <w:szCs w:val="21"/>
        </w:rPr>
        <w:t xml:space="preserve">46 usuarios importados, 11 técnicos activos y 18.383 intervinientes ya cargados con sus comisiones.</w:t>
      </w:r>
    </w:p>
    <w:p>
      <w:pPr>
        <w:spacing w:after="140" w:before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En operación, el taller maneja alrededor de 125 órdenes de trabajo por mes (pico de 181, julio de 2025).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3. Qué cubre el abono base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El abono base incluye la plataforma completa, con todos sus módulos. No hay costos por cantidad de pantallas, ni por usuario, ni por orden de trabajo: el abono es el mismo más allá de cuántas personas lo usen. Y con el abono vamos implementando las necesidades del taller (sección 7).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Módulos incluidos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Tablero.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Estado de las OTs abiertas, listas y entregadas, antigüedad de las abiertas y evolución de las últimas semanas.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Órdenes de trabajo.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Alta, recepción, diagnóstico, presupuesto, ejecución con repuestos, test final y entrega, con historial completo de cambios.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Clientes y equipos.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Alta y edición de clientes, sus equipos, series y documentación adjunta.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Cierre a marcas.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Liquidación mensual por marca y por tipo de garantía (terceros, propia y fuera de garantía), con emisión y anulación.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Maestros.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Técnicos, áreas de trabajo con sus políticas, estados de OT y parámetros de la empresa.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Usuarios y permisos.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Alta de usuarios, roles y permisos finos por módulo.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WhatsApp y correo.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Avisos automáticos al cliente en los estados que la empresa configure, con el registro de cada envío y su estado. Los avisos van incluidos: no hay costo por mensaje. Si el taller prefiere su propia línea, pone su propio número y Meta le factura directamente a él.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Catálogo de repuestos.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Búsqueda de repuestos con código, descripción, rubro y marca contra el ERP de la empresa, con costo y precio de venta tomados del ERP. Sin costo adicional: es una integración de lectura con el sistema que Electrotecniref ya usa.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Asistente con IA.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Consultas sobre el estado del taller y propuestas de repuestos y presupuestos, con confirmación humana antes de escribir. Va incluido, con un límite mensual de consumo por empresa que se define en la puesta en marcha.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Volumen incluido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Los límites siguientes están calibrados con el uso real actual, con margen para crecer. No hay costo por superarlos: el abono no se factura por usuario ni por orden de trabajo, y los avisos por WhatsApp no se cobran por mensaje.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400"/>
        <w:gridCol w:w="3838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Concepto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Incluido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Qué pasa si se excede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Usuarios activos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75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 costo adicional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Órdenes de trabajo por mes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250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 costo adicional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Áreas de trabajo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150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 costo adicional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Empresas a liquidar por mes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 límite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Avisos por WhatsApp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 costo por mensaje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Consumo del asistente con IA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Límite mensual a definir en la puesta en marcha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 ajusta la cuota, no se cobra por uso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Almacenamiento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 GB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 ajusta en la renovación</w:t>
            </w:r>
          </w:p>
        </w:tc>
      </w:tr>
    </w:tbl>
    <w:p>
      <w:pPr>
        <w:spacing w:after="120"/>
      </w:pPr>
    </w:p>
    <w:p>
      <w:pPr>
        <w:spacing w:after="12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4. Puesta en marcha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Es el trabajo que deja el sistema en producción y al personal usándolo. Parte de una ventaja importante: la migración del histórico ya está hecha y verificada contra el sistema anterior.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38"/>
        <w:gridCol w:w="3600"/>
      </w:tblGrid>
      <w:tr>
        <w:trPr>
          <w:tblHeader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Qué incluye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rPr>
          <w:tblHeader w:val="off"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Corte a producción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 histórico ya migrado (9.316 OTs, 17.565 clientes, 126 áreas) pasa del entorno de pruebas a producción, con verificación de cierre de un mes contra el legacy.</w:t>
            </w:r>
          </w:p>
        </w:tc>
      </w:tr>
      <w:tr>
        <w:trPr>
          <w:tblHeader w:val="off"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Usuarios individuales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Alta de las 46 cuentas con contraseña propia. Hoy el acceso es con un usuario compartido de administrador.</w:t>
            </w:r>
          </w:p>
        </w:tc>
      </w:tr>
      <w:tr>
        <w:trPr>
          <w:tblHeader w:val="off"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Configuración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Roles y permisos, estados de OT, áreas con sus políticas de garantía y parámetros de la empresa.</w:t>
            </w:r>
          </w:p>
        </w:tc>
      </w:tr>
      <w:tr>
        <w:trPr>
          <w:tblHeader w:val="off"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Capacitación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jornadas: una de administración (cierre, usuarios, configuración) y una de taller (recepción, diagnóstico, presupuesto, ejecución). Material de consulta.</w:t>
            </w:r>
          </w:p>
        </w:tc>
      </w:tr>
      <w:tr>
        <w:trPr>
          <w:tblHeader w:val="off"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Habilitación de módulos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Catálogo de repuestos contra el ERP (con definición de qué lista de precios se usa), envío de avisos por WhatsApp y asistente con IA con su límite de consumo configurado.</w:t>
            </w:r>
          </w:p>
        </w:tc>
      </w:tr>
      <w:tr>
        <w:trPr>
          <w:tblHeader w:val="off"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Garantía de arranque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 días desde la puesta en marcha para ajustes, consultas y correcciones, sin costo adicional.</w:t>
            </w:r>
          </w:p>
        </w:tc>
      </w:tr>
    </w:tbl>
    <w:p>
      <w:pPr>
        <w:spacing w:after="14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5. Condiciones comerciales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Condición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Ajuste de precio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 abono base se ajusta cada trimestre por el IPC (INDEC) publicado, en el primer día de cada trimestre.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Estructura de cobro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 mes 1 se factura en un solo pago de ARS 500.000, que incluye la puesta en marcha y el primer mes de servicio. Del mes 2 en adelante, el abono es de ARS 300.000 por mes.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Precio de lista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ARS 300.000 por mes es el precio de lista del abono, sin salto de precio por antigüedad ni por volumen.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Plazo mínimo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 meses. Es el tiempo mínimo para que la puesta en marcha se amortice y para que el equipo del taller empiece a trabajar con el sistema a pleno.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 de pago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Mensual, por adelantado, contra factura electrónica (AFIP/ARCA). El abono se emite el primer día de cada mes.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Bonificaciones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 meses de abono abonados por adelantado: 2 meses sin cargo (ARS 3.000.000 por año). La puesta en marcha no se bonifica.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Baja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Preaviso de 60 días. El cliente conserva la exportación de sus datos en formato aberto y el acceso de lectura durante los 90 días siguientes a la baja.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Propiedad de los datos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Los datos son de Electrotecniref. El historial migrado, las OTs, los clientes y los cierres pertenecen al cliente.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6. Compromisos de servicio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Estos compromisos son la parte del contrato que sostiene el resto de la propuesta. Se aplican desde la puesta en marcha.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Compromiso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Disponibilidad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Infraestructura en la plataforma de Vogel, con ambiente de pruebas separado de producción.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Respuesta ante incidentes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Incidente crítico (sistema no disponible): 4 horas hábiles. Incidente alto: 8 horas hábiles. Resto: 2 días hábiles.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Horizonte de atención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Lunes a viernes de 9 a 18 (GMT-3), con guardia para incidentes críticos los fines de semana mediante contacto asignado.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Respaldo y recuperación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Respaldo automático diario de la base, con una ventana de pérdida máxima de datos (RPO) de 24 horas y recuperación (RTO) en 8 horas hábiles, con prueba de restauración mensual. Es parte de la puesta en marcha y se verifica con el cliente antes de dar por iniciada la operación.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Mantenimiento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Ventana única los domingos por la noche, con aviso previo. Las actualizaciones no rompen el flujo de trabajo.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Datos y exportabilidad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 exportación de la información del cliente en formatos abiertos se habilita durante la puesta en marcha, para que el cliente nunca quede atado a la plataforma.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Evolución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 roadmap se define en conjunto con el cliente. Las mejoras que el sistema necesita para el taller entran en el abono; los desarrollos puntuales se cotizan aparte.</w:t>
            </w:r>
          </w:p>
        </w:tc>
      </w:tr>
    </w:tbl>
    <w:p>
      <w:pPr>
        <w:spacing w:after="100"/>
      </w:pP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19"/>
          <w:szCs w:val="19"/>
        </w:rPr>
        <w:t xml:space="preserve">Estos compromisos se mantienen durante toda la vigencia del contrato, con la revisión trimestral de precio por el IPC. El abono incluye el soporte y la atención de incidentes que estos compromisos requieren.</w:t>
      </w:r>
    </w:p>
    <w:p>
      <w:pPr>
        <w:spacing w:after="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7. El diferencial: el desarrollo a medida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El abono no es sólo acceso a la plataforma: </w:t>
      </w: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con el abono vamos implementando sus necesidades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 a medida que aparecen. Cada vez que el taller necesita algo nuevo —una integración con su ERP, un informe, una marca más, un ajuste en la operatoria— lo hacemos nosotros y sigue dentro del abono.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Qué es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Trabajo real sobre el sistema para que la plataforma sea la de este taller: su ERP, sus listas de precios, sus reglas de garantía y sus formatos de trabajo. No es un cargo por usar la plataforma.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Cómo se trabaja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Definimos el alcance de cada pedido, lo hacemos y lo entregamos. Sin cotización por pieza y sin factura sorpresa: entra en el abono.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Qué ventaja da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 plataforma ya nació de este taller: buena parte de lo que otros tendrían que desarrollar, acá ya está hecho y verificado contra el legacy.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Qué NO se cobra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Ningún cargo por uso de la plataforma: ni por usuario, ni por orden de trabajo, ni por mensaje de WhatsApp. Y ningún cargo por el desarrollo que el taller necesite.</w:t>
            </w:r>
          </w:p>
        </w:tc>
      </w:tr>
    </w:tbl>
    <w:p>
      <w:pPr>
        <w:spacing w:after="120"/>
      </w:pPr>
    </w:p>
    <w:p>
      <w:pPr>
        <w:spacing w:after="140" w:before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Todo lo demás —órdenes de trabajo, clientes, cierre a marcas, catálogo de repuestos, usuarios, roles, WhatsApp, asistente con IA, tableros, reportes y el historial completo— está dentro del abono base.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8. Cómo se avanza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200"/>
        <w:gridCol w:w="3238"/>
      </w:tblGrid>
      <w:tr>
        <w:trPr>
          <w:tblHeader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Paso</w:t>
            </w:r>
          </w:p>
        </w:tc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Qué ocurre</w:t>
            </w:r>
          </w:p>
        </w:tc>
        <w:tc>
          <w:tcPr>
            <w:tcW w:type="dxa" w:w="3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Quién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Aceptación de esta propuesta y definición del plazo de inicio.</w:t>
            </w:r>
          </w:p>
        </w:tc>
        <w:tc>
          <w:tcPr>
            <w:tcW w:type="dxa" w:w="3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Electrotecniref y Vogel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Definición de la lista de precios del catálogo de repuestos, del límite de consumo del asistente con IA y de si los avisos al cliente salen por la línea de la plataforma o por la línea de Electrotecniref.</w:t>
            </w:r>
          </w:p>
        </w:tc>
        <w:tc>
          <w:tcPr>
            <w:tcW w:type="dxa" w:w="3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 conjunto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Corte a producción con el histórico y verificación de un cierre contra el legacy.</w:t>
            </w:r>
          </w:p>
        </w:tc>
        <w:tc>
          <w:tcPr>
            <w:tcW w:type="dxa" w:w="3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Vogel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Alta de usuarios, configuración y 2 jornadas de capacitación.</w:t>
            </w:r>
          </w:p>
        </w:tc>
        <w:tc>
          <w:tcPr>
            <w:tcW w:type="dxa" w:w="3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 conjunto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Comienza el abono mensual de ARS 300.000. 30 días de garantía de arranque.</w:t>
            </w:r>
          </w:p>
        </w:tc>
        <w:tc>
          <w:tcPr>
            <w:tcW w:type="dxa" w:w="3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Vogel</w:t>
            </w:r>
          </w:p>
        </w:tc>
      </w:tr>
    </w:tbl>
    <w:p>
      <w:pPr>
        <w:spacing w:after="200"/>
      </w:pPr>
    </w:p>
    <w:p>
      <w:pPr>
        <w:spacing w:after="2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Para avanzar, alcanza con una respuesta a esta propuesta y una fecha de reunión para el paso 2. </w:t>
      </w: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Cualquier duda sobre los números, los límites o el roadmap, la respondemos antes de firmar.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Mar>
              <w:top w:type="dxa" w:w="90"/>
              <w:left w:type="dxa" w:w="130"/>
              <w:bottom w:type="dxa" w:w="90"/>
              <w:right w:type="dxa" w:w="130"/>
            </w:tcMar>
            <w:vAlign w:val="bottom"/>
          </w:tcPr>
          <w:p>
            <w:pPr>
              <w:spacing w:after="320"/>
            </w:pPr>
          </w:p>
          <w:p>
            <w:pPr>
              <w:pBdr>
                <w:top w:val="single" w:color="808080" w:sz="6" w:space="4"/>
              </w:pBd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Electrotecniref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Nombre, cargo y fecha</w:t>
            </w:r>
          </w:p>
        </w:tc>
        <w:tc>
          <w:tcPr>
            <w:tcW w:type="dxa" w:w="4819"/>
            <w:tcMar>
              <w:top w:type="dxa" w:w="90"/>
              <w:left w:type="dxa" w:w="130"/>
              <w:bottom w:type="dxa" w:w="90"/>
              <w:right w:type="dxa" w:w="130"/>
            </w:tcMar>
            <w:vAlign w:val="bottom"/>
          </w:tcPr>
          <w:p>
            <w:pPr>
              <w:spacing w:after="320"/>
            </w:pPr>
          </w:p>
          <w:p>
            <w:pPr>
              <w:pBdr>
                <w:top w:val="single" w:color="808080" w:sz="6" w:space="4"/>
              </w:pBd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Vogel Consultoría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Nombre, cargo y fecha</w:t>
            </w:r>
          </w:p>
        </w:tc>
      </w:tr>
    </w:tbl>
    <w:sectPr>
      <w:footerReference w:type="default" r:id="rId6"/>
      <w:footerReference w:type="first" r:id="rId7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tabs>
        <w:tab w:val="right" w:pos="9026"/>
      </w:tabs>
      <w:spacing w:before="60"/>
    </w:pPr>
    <w:r>
      <w:rPr>
        <w:rFonts w:ascii="Arial" w:cs="Arial" w:eastAsia="Arial" w:hAnsi="Arial"/>
        <w:color w:val="595959"/>
        <w:sz w:val="16"/>
        <w:szCs w:val="16"/>
      </w:rPr>
      <w:t xml:space="preserve">Vogel Gestión de Servicios — Propuesta de abono mensual · Electrotecniref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595959"/>
        <w:sz w:val="16"/>
        <w:szCs w:val="16"/>
      </w:rPr>
      <w:t xml:space="preserve">Página </w:t>
    </w:r>
    <w:r>
      <w:rPr>
        <w:rFonts w:ascii="Arial" w:cs="Arial" w:eastAsia="Arial" w:hAnsi="Arial"/>
        <w:color w:val="595959"/>
        <w:sz w:val="16"/>
        <w:szCs w:val="16"/>
      </w:rPr>
      <w:fldChar w:fldCharType="begin"/>
    </w:r>
    <w:r>
      <w:rPr>
        <w:rFonts w:ascii="Arial" w:cs="Arial" w:eastAsia="Arial" w:hAnsi="Arial"/>
        <w:color w:val="595959"/>
        <w:sz w:val="16"/>
        <w:szCs w:val="16"/>
      </w:rPr>
      <w:instrText xml:space="preserve">PAGE</w:instrText>
    </w:r>
    <w:r>
      <w:rPr>
        <w:rFonts w:ascii="Arial" w:cs="Arial" w:eastAsia="Arial" w:hAnsi="Arial"/>
        <w:color w:val="595959"/>
        <w:sz w:val="16"/>
        <w:szCs w:val="16"/>
      </w:rPr>
      <w:fldChar w:fldCharType="separate"/>
    </w:r>
    <w:r>
      <w:rPr>
        <w:rFonts w:ascii="Arial" w:cs="Arial" w:eastAsia="Arial" w:hAnsi="Arial"/>
        <w:color w:val="595959"/>
        <w:sz w:val="16"/>
        <w:szCs w:val="16"/>
      </w:rPr>
      <w:fldChar w:fldCharType="end"/>
    </w:r>
    <w:r>
      <w:rPr>
        <w:rFonts w:ascii="Arial" w:cs="Arial" w:eastAsia="Arial" w:hAnsi="Arial"/>
        <w:color w:val="595959"/>
        <w:sz w:val="16"/>
        <w:szCs w:val="16"/>
      </w:rPr>
      <w:t xml:space="preserve"> de </w:t>
    </w:r>
    <w:r>
      <w:rPr>
        <w:rFonts w:ascii="Arial" w:cs="Arial" w:eastAsia="Arial" w:hAnsi="Arial"/>
        <w:color w:val="595959"/>
        <w:sz w:val="16"/>
        <w:szCs w:val="16"/>
      </w:rPr>
      <w:fldChar w:fldCharType="begin"/>
    </w:r>
    <w:r>
      <w:rPr>
        <w:rFonts w:ascii="Arial" w:cs="Arial" w:eastAsia="Arial" w:hAnsi="Arial"/>
        <w:color w:val="595959"/>
        <w:sz w:val="16"/>
        <w:szCs w:val="16"/>
      </w:rPr>
      <w:instrText xml:space="preserve">NUMPAGES</w:instrText>
    </w:r>
    <w:r>
      <w:rPr>
        <w:rFonts w:ascii="Arial" w:cs="Arial" w:eastAsia="Arial" w:hAnsi="Arial"/>
        <w:color w:val="595959"/>
        <w:sz w:val="16"/>
        <w:szCs w:val="16"/>
      </w:rPr>
      <w:fldChar w:fldCharType="separate"/>
    </w:r>
    <w:r>
      <w:rPr>
        <w:rFonts w:ascii="Arial" w:cs="Arial" w:eastAsia="Arial" w:hAnsi="Arial"/>
        <w:color w:val="595959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F3864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8c72d9791e998c43912060aaf4d0b298f66ce5d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abono mensual — Vogel Gestión de Servicios</dc:title>
  <dc:creator>Vogel Consultoría</dc:creator>
  <dc:description>Propuesta de abono mensual para Electrotecniref</dc:description>
  <cp:lastModifiedBy>Un-named</cp:lastModifiedBy>
  <cp:revision>1</cp:revision>
  <dcterms:created xsi:type="dcterms:W3CDTF">2026-10-27T11:11:33.877Z</dcterms:created>
  <dcterms:modified xsi:type="dcterms:W3CDTF">2026-10-27T11:11:33.878Z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