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VOGEL CONSULTORÍA</w:t>
      </w:r>
    </w:p>
    <w:p>
      <w:pPr>
        <w:pBdr>
          <w:bottom w:val="single" w:color="1F3864" w:sz="12" w:space="6"/>
        </w:pBdr>
        <w:spacing w:after="4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Gestión de Servicios — plataforma para talleres de servicio técnico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Propuesta económica</w:t>
      </w:r>
    </w:p>
    <w:p>
      <w:pPr>
        <w:spacing w:after="20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Vogel Gestión de Servicios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  ·  Abono mensual para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Electrotecniref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</w:tbl>
    <w:p>
      <w:pPr>
        <w:spacing w:after="20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1. La propuesta en una línea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Un abono mensual de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ARS 650.000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 por el uso completo de la plataforma, con la puesta en marcha por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ARS 850.000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 por única vez. Todo lo que la plataforma hace —órdenes de trabajo, presupuestos, cierre a marcas, catálogo de repuestos contra el ERP propio, WhatsApp y el asistente con IA— está incluido. Sólo el consumo que exceda lo pactado se factura aparte, y siempre medido por el propio sistema.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Importe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Puesta en marcha (única vez)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ARS 850.000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Abono mensual base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ARS 650.000 / mes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Asistente con IA (incluido en el abono)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Cuota de USD 30 / mes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Adicionales por excedente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 facturan al consumo medido</w:t>
            </w:r>
          </w:p>
        </w:tc>
      </w:tr>
    </w:tbl>
    <w:p>
      <w:pPr>
        <w:spacing w:after="100"/>
      </w:pP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Con contrato de 12 meses abonados por adelantado, la puesta en marcha baja a </w:t>
      </w:r>
      <w:r>
        <w:rPr>
          <w:rFonts w:ascii="Arial" w:cs="Arial" w:eastAsia="Arial" w:hAnsi="Arial"/>
          <w:b/>
          <w:bCs/>
          <w:i w:val="false"/>
          <w:iCs w:val="false"/>
          <w:color w:val="595959"/>
          <w:sz w:val="19"/>
          <w:szCs w:val="19"/>
        </w:rPr>
        <w:t xml:space="preserve">ARS 425.000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y el primer año de abono tiene un 15% de descuento.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 Qué es Vogel Gestión de Servicios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 una plataforma web para administrar un taller de servicio técnico: orden de trabajo de punta a punta, clientes y equipos, presupuestos, diagnóstico, ejecución, cierre mensual a marcas y liquidación contra cada marca, maestro de técnicos y de áreas, control de acceso por rol, y avisos al cliente por WhatsApp o correo.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No es un producto de catálogo genérico: se construyó sobre el historial real de Electrotecniref. El sistema ya tiene cargado el histórico completo del sistema anterior —56.619 trabajos de 2001 a la fecha— y las cifras del cierre a marcas de junio 2025 dan 123 trabajos y $ 1.675.486,90, idénticas al legacy, al centavo.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La validación no es una estimación: el cierre de junio 2025 se reprodujo contra una consulta escrita a mano sobre la base original, y los números coinciden obra por obra y peso por peso.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Lo que se ve hoy en el entorno de pruebas, con datos reales: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9.316 órdenes de trabajo migradas, con su diagnóstico, repuestos e intervinientes.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17.565 clientes con sus equipos y documentación.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126 áreas de trabajo (marcas) con sus políticas de garantía y plazo.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34 marcas a las que se liquida mensualmente.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46 usuarios importados, 11 técnicos activos y 18.383 intervinientes ya cargados con sus comisiones.</w:t>
      </w:r>
    </w:p>
    <w:p>
      <w:pPr>
        <w:spacing w:after="140" w:before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En operación, el taller maneja del orden de 130 órdenes de trabajo por mes (pico de 181) y liquida contra marcas alrededor de ARS 2,8 millones mensuales en 2026.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 Qué cubre el abono base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El abono base incluye la plataforma completa, sin módulos que se cobren aparte. No hay costos por usar un módulo ni por cantidad de pantallas.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Módulos incluidos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Tablero.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Estado de las OTs abiertas, listas y entregadas, antigüedad de las abiertas y evolución de las últimas semanas.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Órdenes de trabajo.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Alta, recepción, diagnóstico, presupuesto, ejecución con repuestos, test final y entrega, con historial completo de cambios.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Clientes y equipos.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Alta y edición de clientes, sus equipos, series y documentación adjunta.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Cierre a marcas.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Liquidación mensual por marca y por tipo de garantía (terceros, propia y fuera de garantía), con emisión y anulación.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Maestros.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Técnicos, áreas de trabajo con sus políticas, estados de OT y parámetros de la empresa.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Usuarios y permisos.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Alta de usuarios, roles y permisos finos por módulo.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WhatsApp y correo.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Avisos automáticos al cliente en los estados que la empresa configure.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Catálogo de repuestos.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Búsqueda de repuestos con código, descripción, rubro y marca contra el ERP de la empresa, con costo y precio de venta tomados del ERP. Sin costo adicional: es una integración de lectura con el sistema que Electrotecniref ya usa.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Asistente con IA.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Consultas sobre el estado del taller y propuestas de repuestos y presupuestos, con confirmación humana antes de escribir. Incluye una cuota mensual de consumo (ver la tabla de volumen incluido).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Volumen incluido y control de excedentes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Los límites siguientes están calibrados con el uso real actual, con margen para crecer. Superarlos no bloquea el sistema: se factura el excedente, que se mide solo.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400"/>
        <w:gridCol w:w="3838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Incluido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pasa si se excede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Usuarios activos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75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ARS 4.000 por usuario/mes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Órdenes de trabajo por mes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250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ARS 1.200 por OT excedente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Áreas de trabajo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150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costo adicional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Empresas a liquidar por mes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límite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Almacenamiento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 GB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 ajusta en la renovación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Conversaciones de WhatsApp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1.000 por mes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costo de plataforma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Consumo de IA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USD 30 por mes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 costo medido + 30%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El consumo de IA no se estima: el sistema anota cada pedido al proveedor con sus tokens y su costo, aunque la llamada falle. La pantalla de consumo muestra el gasto del mes en curso y del mes anterior, por empresa.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4. Puesta en marcha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 el trabajo que deja el sistema en producción y al personal usándolo. Parte de una ventaja importante: la migración del histórico ya está hecha y verificada contra el sistema anterior.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38"/>
        <w:gridCol w:w="3600"/>
      </w:tblGrid>
      <w:tr>
        <w:trPr>
          <w:tblHeader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Corte a producción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histórico ya migrado (9.316 OTs, 17.565 clientes, 126 áreas) pasa del entorno de pruebas a producción, con verificación de cierre de un mes contra el legacy.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Usuarios individuales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 de las 46 cuentas con contraseña propia. Hoy el acceso es con un usuario compartido de administrador.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Roles y permisos, estados de OT, áreas con sus políticas de garantía y parámetros de la empresa.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Capacitación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jornadas: una de administración (cierre, usuarios, configuración) y una de taller (recepción, diagnóstico, presupuesto, ejecución). Material de consulta.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Habilitación de módulos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Catálogo de repuestos contra el ERP (con definición de qué lista de precios se usa) y asistente IA con su cuota configurada.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Garantía de arranque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 días desde la puesta en marcha para ajustes, consultas y correcciones, sin costo adicional.</w:t>
            </w:r>
          </w:p>
        </w:tc>
      </w:tr>
    </w:tbl>
    <w:p>
      <w:pPr>
        <w:spacing w:after="14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5. Condiciones comerciales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Condición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Ajuste de precio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abono base se ajusta una vez al año por el IPC (INDEC) publicado, en la fecha de aniversario del contrato.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Plazo mínimo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 meses. Es el tiempo mínimo para que la puesta en marcha se amortice y el sistema de repuestos y el asistente rendigan.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 de pago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Mensual, por adelantado, contra factura electrónica (AFIP/ARCA). El abono se emite el primer día de cada mes.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Bonificaciones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 meses abonados por adelantado: puesta en marcha a ARS 425.000 y 15% de descuento sobre el abono del primer año.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Baja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Preaviso de 60 días. El cliente conserva la exportación de sus datos en formato aberto y el acceso de lectura durante los 90 días siguientes a la baja.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Propiedad de los datos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Los datos son de Electrotecniref. El historial migrado, las OTs, los clientes y los cierres pertenecen al cliente.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6. Compromisos de servicio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Estos compromisos son la parte del contrato que sostiene el resto de la propuesta. Se aplican desde la puesta en marcha.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Compromiso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Disponibilidad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Infraestructura en la plataforma de Vogel, con ambiente de pruebas separado de producción.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Respuesta ante incidentes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Incidente crítico (sistema no disponible): 4 horas hábiles. Incidente alto: 8 horas hábiles. Resto: 2 días hábiles.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Horizonte de atención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Lunes a viernes de 9 a 18 (GMT-3), con guardia para incidentes críticos los fines de semana mediante contacto asignado.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Respaldo y recuperación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Respaldo automático diario de la base, con una ventana de pérdida máxima de datos (RPO) de 24 horas y recuperación (RTO) en 8 horas hábiles, con prueba de restauración mensual. Es parte de la puesta en marcha y se verifica con el cliente antes de dar por iniciada la operación.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Mantenimiento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Ventana única los domingos por la noche, con aviso previo. Las actualizaciones no rompen el flujo de trabajo.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Datos y exportabilidad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 exportación de la información del cliente en formatos abiertos se habilita durante la puesta en marcha, para que el cliente nunca quede atado a la plataforma.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Evolución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roadmap se define en conjunto con el cliente. Las mejoras que el sistema necesita para el taller entran en el abono; los desarrollos puntuales se cotizan aparte.</w:t>
            </w:r>
          </w:p>
        </w:tc>
      </w:tr>
    </w:tbl>
    <w:p>
      <w:pPr>
        <w:spacing w:after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7. Qué se factura aparte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Sólo tres cosas, y las tres se miden con el propio sistema. No hay cargos inesperados.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Consumo de IA por encima de los USD 30 incluidos: se factura al costo medido de los tokens más un 30%.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Conversaciones de WhatsApp por encima de 1.000 por mes: se factura a costo de plataforma.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Desarrollo a medida: cualquier funcionalidad que no esté en el roadmap se cotiza por escrito antes de empezar.</w:t>
      </w:r>
    </w:p>
    <w:p>
      <w:pPr>
        <w:spacing w:after="140" w:before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Todo lo demás —órdenes de trabajo, clientes, cierre a marcas, catálogo de repuestos, usuarios, roles, WhatsApp, tableros, reportes y el historial completo— está dentro del abono base.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8. Cómo se avanza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200"/>
        <w:gridCol w:w="3238"/>
      </w:tblGrid>
      <w:tr>
        <w:trPr>
          <w:tblHeader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Paso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ocurre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Quién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Aceptación de esta propuesta y definición del plazo de inicio.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Electrotecniref y Vogel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Definición de la lista de precios del catálogo de repuestos y confirmación de la cuota inicial de IA.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 conjunto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Corte a producción con el histórico y verificación de un cierre contra el legacy.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Vogel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 de usuarios, configuración y 2 jornadas de capacitación.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 conjunto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Comienza el abono mensual. 30 días de garantía de arranque.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Vogel</w:t>
            </w:r>
          </w:p>
        </w:tc>
      </w:tr>
    </w:tbl>
    <w:p>
      <w:pPr>
        <w:spacing w:after="200"/>
      </w:pPr>
    </w:p>
    <w:p>
      <w:pPr>
        <w:spacing w:after="2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Para avanzar, alcanza con una respuesta a esta propuesta y una fecha de reunión para el paso 2.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Cualquier duda sobre los números, los límites o el roadmap, la respondemos antes de firmar.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tabs>
        <w:tab w:val="right" w:pos="9026"/>
      </w:tabs>
      <w:spacing w:before="60"/>
    </w:pPr>
    <w:r>
      <w:rPr>
        <w:rFonts w:ascii="Arial" w:cs="Arial" w:eastAsia="Arial" w:hAnsi="Arial"/>
        <w:color w:val="595959"/>
        <w:sz w:val="16"/>
        <w:szCs w:val="16"/>
      </w:rPr>
      <w:t xml:space="preserve">Vogel Gestión de Servicios — Propuesta de abono mensual · Electrotecniref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595959"/>
        <w:sz w:val="16"/>
        <w:szCs w:val="16"/>
      </w:rPr>
      <w:t xml:space="preserve">Página </w:t>
    </w:r>
    <w:r>
      <w:rPr>
        <w:rFonts w:ascii="Arial" w:cs="Arial" w:eastAsia="Arial" w:hAnsi="Arial"/>
        <w:color w:val="595959"/>
        <w:sz w:val="16"/>
        <w:szCs w:val="16"/>
      </w:rPr>
      <w:fldChar w:fldCharType="begin"/>
    </w:r>
    <w:r>
      <w:rPr>
        <w:rFonts w:ascii="Arial" w:cs="Arial" w:eastAsia="Arial" w:hAnsi="Arial"/>
        <w:color w:val="595959"/>
        <w:sz w:val="16"/>
        <w:szCs w:val="16"/>
      </w:rPr>
      <w:instrText xml:space="preserve">PAGE</w:instrText>
    </w:r>
    <w:r>
      <w:rPr>
        <w:rFonts w:ascii="Arial" w:cs="Arial" w:eastAsia="Arial" w:hAnsi="Arial"/>
        <w:color w:val="595959"/>
        <w:sz w:val="16"/>
        <w:szCs w:val="16"/>
      </w:rPr>
      <w:fldChar w:fldCharType="separate"/>
    </w:r>
    <w:r>
      <w:rPr>
        <w:rFonts w:ascii="Arial" w:cs="Arial" w:eastAsia="Arial" w:hAnsi="Arial"/>
        <w:color w:val="595959"/>
        <w:sz w:val="16"/>
        <w:szCs w:val="16"/>
      </w:rPr>
      <w:fldChar w:fldCharType="end"/>
    </w:r>
    <w:r>
      <w:rPr>
        <w:rFonts w:ascii="Arial" w:cs="Arial" w:eastAsia="Arial" w:hAnsi="Arial"/>
        <w:color w:val="595959"/>
        <w:sz w:val="16"/>
        <w:szCs w:val="16"/>
      </w:rPr>
      <w:t xml:space="preserve"> de </w:t>
    </w:r>
    <w:r>
      <w:rPr>
        <w:rFonts w:ascii="Arial" w:cs="Arial" w:eastAsia="Arial" w:hAnsi="Arial"/>
        <w:color w:val="595959"/>
        <w:sz w:val="16"/>
        <w:szCs w:val="16"/>
      </w:rPr>
      <w:fldChar w:fldCharType="begin"/>
    </w:r>
    <w:r>
      <w:rPr>
        <w:rFonts w:ascii="Arial" w:cs="Arial" w:eastAsia="Arial" w:hAnsi="Arial"/>
        <w:color w:val="595959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595959"/>
        <w:sz w:val="16"/>
        <w:szCs w:val="16"/>
      </w:rPr>
      <w:fldChar w:fldCharType="separate"/>
    </w:r>
    <w:r>
      <w:rPr>
        <w:rFonts w:ascii="Arial" w:cs="Arial" w:eastAsia="Arial" w:hAnsi="Arial"/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F386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abono mensual — Vogel Gestión de Servicios</dc:title>
  <dc:creator>Vogel Consultoría</dc:creator>
  <dc:description>Propuesta de abono mensual para Electrotecniref</dc:description>
  <cp:lastModifiedBy>Un-named</cp:lastModifiedBy>
  <cp:revision>1</cp:revision>
  <dcterms:created xsi:type="dcterms:W3CDTF">2026-10-26T19:29:18.345Z</dcterms:created>
  <dcterms:modified xsi:type="dcterms:W3CDTF">2026-10-26T19:29:18.346Z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