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VOGEL CONSULTORÍA</w:t>
      </w:r>
    </w:p>
    <w:p>
      <w:pPr>
        <w:pBdr>
          <w:bottom w:val="single" w:color="1F3864" w:sz="12" w:space="6"/>
        </w:pBdr>
        <w:spacing w:after="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Gestión de Servicios — plataforma para talleres de servicio técnico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Propuesta económica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Vogel Gestión de Servicios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 ·  Abono mensual para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Electrotecniref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La propuesta en una línea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Un abono mensual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ARS 300.000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por el uso completo de la plataforma, con la puesta en marcha en el primer mes: el mes 1 se factura un único pago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ARS 500.000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y del mes 2 en adelante el abono es de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ARS 300.000 por mes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Todo lo que la plataforma hace —órdenes de trabajo, presupuestos, cierre a marcas, catálogo de repuestos contra el ERP propio, WhatsApp y el asistente con IA— está incluido. Sólo el consumo que exceda lo pactado se factura aparte, y siempre medido por el propio sistema.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 1: puesta en marcha y primer mes de servicio, en un solo pago</w:t>
            </w:r>
          </w:p>
        </w:tc>
        <w:tc>
          <w:tcPr>
            <w:tcW w:type="dxa" w:w="6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ARS 500.000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Abono mensual base (desde el mes 2)</w:t>
            </w:r>
          </w:p>
        </w:tc>
        <w:tc>
          <w:tcPr>
            <w:tcW w:type="dxa" w:w="6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ARS 300.000 / mes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Precio de lista del abono</w:t>
            </w:r>
          </w:p>
        </w:tc>
        <w:tc>
          <w:tcPr>
            <w:tcW w:type="dxa" w:w="6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ARS 300.000 / mes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Asistente con IA (incluido en el abono)</w:t>
            </w:r>
          </w:p>
        </w:tc>
        <w:tc>
          <w:tcPr>
            <w:tcW w:type="dxa" w:w="6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Cuota de USD 30 / mes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Mensajes de WhatsApp (incluidos en el abono)</w:t>
            </w:r>
          </w:p>
        </w:tc>
        <w:tc>
          <w:tcPr>
            <w:tcW w:type="dxa" w:w="6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por mes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Adicionales por excedente</w:t>
            </w:r>
          </w:p>
        </w:tc>
        <w:tc>
          <w:tcPr>
            <w:tcW w:type="dxa" w:w="6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facturan al consumo medido</w:t>
            </w:r>
          </w:p>
        </w:tc>
      </w:tr>
    </w:tbl>
    <w:p>
      <w:pPr>
        <w:spacing w:after="100"/>
      </w:pP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El abono no tiene salto de precio por antigüedad: </w:t>
      </w:r>
      <w:r>
        <w:rPr>
          <w:rFonts w:ascii="Arial" w:cs="Arial" w:eastAsia="Arial" w:hAnsi="Arial"/>
          <w:b/>
          <w:bCs/>
          <w:i w:val="false"/>
          <w:iCs w:val="false"/>
          <w:color w:val="595959"/>
          <w:sz w:val="19"/>
          <w:szCs w:val="19"/>
        </w:rPr>
        <w:t xml:space="preserve">ARS 300.000 por mes es su precio de lista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y se ajusta una vez al año por el IPC (INDEC). El primer año suma </w:t>
      </w:r>
      <w:r>
        <w:rPr>
          <w:rFonts w:ascii="Arial" w:cs="Arial" w:eastAsia="Arial" w:hAnsi="Arial"/>
          <w:b/>
          <w:bCs/>
          <w:i w:val="false"/>
          <w:iCs w:val="false"/>
          <w:color w:val="595959"/>
          <w:sz w:val="19"/>
          <w:szCs w:val="19"/>
        </w:rPr>
        <w:t xml:space="preserve">ARS 3.800.000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(ARS 500.000 del mes 1 más once abonos de ARS 300.000); a partir del segundo año, </w:t>
      </w:r>
      <w:r>
        <w:rPr>
          <w:rFonts w:ascii="Arial" w:cs="Arial" w:eastAsia="Arial" w:hAnsi="Arial"/>
          <w:b/>
          <w:bCs/>
          <w:i w:val="false"/>
          <w:iCs w:val="false"/>
          <w:color w:val="595959"/>
          <w:sz w:val="19"/>
          <w:szCs w:val="19"/>
        </w:rPr>
        <w:t xml:space="preserve">ARS 3.600.000 por año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.</w:t>
      </w:r>
    </w:p>
    <w:p>
      <w:pPr>
        <w:spacing w:after="60"/>
      </w:pP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Como referencia de escala: el abono representa cerca del 3% de la facturación mensual del taller, dentro de la banda del 1% al 3% en la que se encuentra el software de gestión en empresas de servicios de tamaño comparable. Deja margen para que el taller crezca sin que el abono se vuelva desproporcionado.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Qué es Vogel Gestión de Servicios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 una plataforma web para administrar un taller de servicio técnico: orden de trabajo de punta a punta, clientes y equipos, presupuestos, diagnóstico, ejecución, cierre mensual a marcas y liquidación contra cada marca, maestro de técnicos y de áreas, control de acceso por rol, y avisos al cliente por WhatsApp o correo.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No es un producto de catálogo genérico: se construyó sobre el historial real de Electrotecniref. El sistema ya tiene cargado el histórico completo del sistema anterior —56.619 trabajos de 2001 a la fecha— y las cifras del cierre a marcas de junio 2025 dan 123 trabajos y $ 1.675.486,90, idénticas al legacy, al centavo.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 validación no es una estimación: el cierre de junio 2025 se reprodujo contra una consulta escrita a mano sobre la base original, y los números coinciden obra por obra y peso por peso.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Lo que se ve hoy en el entorno de pruebas, con datos reales: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1"/>
          <w:szCs w:val="21"/>
        </w:rPr>
        <w:t xml:space="preserve">9.316 órdenes de trabajo migradas, con su diagnóstico, repuestos e intervinientes.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1"/>
          <w:szCs w:val="21"/>
        </w:rPr>
        <w:t xml:space="preserve">17.565 clientes con sus equipos y documentación.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1"/>
          <w:szCs w:val="21"/>
        </w:rPr>
        <w:t xml:space="preserve">126 áreas de trabajo (marcas) con sus políticas de garantía y plazo.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1"/>
          <w:szCs w:val="21"/>
        </w:rPr>
        <w:t xml:space="preserve">34 marcas a las que se liquida mensualmente.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1"/>
          <w:szCs w:val="21"/>
        </w:rPr>
        <w:t xml:space="preserve">46 usuarios importados, 11 técnicos activos y 18.383 intervinientes ya cargados con sus comisiones.</w:t>
      </w:r>
    </w:p>
    <w:p>
      <w:pPr>
        <w:spacing w:after="14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En operación, el taller maneja alrededor de 125 órdenes de trabajo por mes (pico de 181, julio de 2025) y liquida contra marcas un promedio de ARS 2,8 millones mensuales en 2026.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Qué cubre el abono base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El abono base incluye la plataforma completa, sin módulos que se cobren aparte. No hay costos por usar un módulo ni por cantidad de pantallas.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Módulos incluidos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Tablero.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Estado de las OTs abiertas, listas y entregadas, antigüedad de las abiertas y evolución de las últimas semanas.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Órdenes de trabajo.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Alta, recepción, diagnóstico, presupuesto, ejecución con repuestos, test final y entrega, con historial completo de cambios.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Clientes y equipos.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Alta y edición de clientes, sus equipos, series y documentación adjunta.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Cierre a marcas.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Liquidación mensual por marca y por tipo de garantía (terceros, propia y fuera de garantía), con emisión y anulación.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Maestros.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Técnicos, áreas de trabajo con sus políticas, estados de OT y parámetros de la empresa.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Usuarios y permisos.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Alta de usuarios, roles y permisos finos por módulo.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WhatsApp y correo.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Avisos automáticos al cliente en los estados que la empresa configure.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Catálogo de repuestos.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Búsqueda de repuestos con código, descripción, rubro y marca contra el ERP de la empresa, con costo y precio de venta tomados del ERP. Sin costo adicional: es una integración de lectura con el sistema que Electrotecniref ya usa.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Asistente con IA.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Consultas sobre el estado del taller y propuestas de repuestos y presupuestos, con confirmación humana antes de escribir. Incluye una cuota mensual de consumo (ver la tabla de volumen incluido).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Volumen incluido y control de excedentes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Los límites siguientes están calibrados con el uso real actual, con margen para crecer. Superarlos no bloquea el sistema: se factura el excedente, que se mide solo.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838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Incluido</w:t>
            </w:r>
          </w:p>
        </w:tc>
        <w:tc>
          <w:tcPr>
            <w:tcW w:type="dxa" w:w="3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pasa si se excede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 activos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3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ARS 4.000 por usuario/mes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Órdenes de trabajo por mes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3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ARS 1.200 por OT excedente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Áreas de trabajo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3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costo adicional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Empresas a liquidar por mes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límite</w:t>
            </w:r>
          </w:p>
        </w:tc>
        <w:tc>
          <w:tcPr>
            <w:tcW w:type="dxa" w:w="3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GB</w:t>
            </w:r>
          </w:p>
        </w:tc>
        <w:tc>
          <w:tcPr>
            <w:tcW w:type="dxa" w:w="3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ajusta en la renovación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Mensajes de WhatsApp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por mes</w:t>
            </w:r>
          </w:p>
        </w:tc>
        <w:tc>
          <w:tcPr>
            <w:tcW w:type="dxa" w:w="3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costo de Meta sobre el excedente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Consumo de IA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30 por mes (unos 9.000 turnos)</w:t>
            </w:r>
          </w:p>
        </w:tc>
        <w:tc>
          <w:tcPr>
            <w:tcW w:type="dxa" w:w="3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 costo medido + 30%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El consumo de IA no se estima: el sistema anota cada pedido al proveedor con sus tokens y su costo, aunque la llamada falle. La pantalla de consumo muestra el gasto del mes en curso y del mes anterior, por empresa. Lo mismo ocurre con WhatsApp: el sistema registra cada mensaje enviado con su estado, y el consumo se factura contra ese registro. Los 400 mensajes incluidos son los que salen por la línea de la plataforma: si Electrotecniref usa su propia línea de WhatsApp, la factura de Meta le llega directamente a ella y ese consumo no se descuenta del abono.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Puesta en marcha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 el trabajo que deja el sistema en producción y al personal usándolo. Parte de una ventaja importante: la migración del histórico ya está hecha y verificada contra el sistema anterior.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38"/>
        <w:gridCol w:w="3600"/>
      </w:tblGrid>
      <w:tr>
        <w:trPr>
          <w:tblHeader/>
        </w:trPr>
        <w:tc>
          <w:tcPr>
            <w:tcW w:type="dxa" w:w="6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incluye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off"/>
        </w:trPr>
        <w:tc>
          <w:tcPr>
            <w:tcW w:type="dxa" w:w="6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Corte a producción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histórico ya migrado (9.316 OTs, 17.565 clientes, 126 áreas) pasa del entorno de pruebas a producción, con verificación de cierre de un mes contra el legacy.</w:t>
            </w:r>
          </w:p>
        </w:tc>
      </w:tr>
      <w:tr>
        <w:trPr>
          <w:tblHeader w:val="off"/>
        </w:trPr>
        <w:tc>
          <w:tcPr>
            <w:tcW w:type="dxa" w:w="6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 individuales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 de las 46 cuentas con contraseña propia. Hoy el acceso es con un usuario compartido de administrador.</w:t>
            </w:r>
          </w:p>
        </w:tc>
      </w:tr>
      <w:tr>
        <w:trPr>
          <w:tblHeader w:val="off"/>
        </w:trPr>
        <w:tc>
          <w:tcPr>
            <w:tcW w:type="dxa" w:w="6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Roles y permisos, estados de OT, áreas con sus políticas de garantía y parámetros de la empresa.</w:t>
            </w:r>
          </w:p>
        </w:tc>
      </w:tr>
      <w:tr>
        <w:trPr>
          <w:tblHeader w:val="off"/>
        </w:trPr>
        <w:tc>
          <w:tcPr>
            <w:tcW w:type="dxa" w:w="6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Capacitación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jornadas: una de administración (cierre, usuarios, configuración) y una de taller (recepción, diagnóstico, presupuesto, ejecución). Material de consulta.</w:t>
            </w:r>
          </w:p>
        </w:tc>
      </w:tr>
      <w:tr>
        <w:trPr>
          <w:tblHeader w:val="off"/>
        </w:trPr>
        <w:tc>
          <w:tcPr>
            <w:tcW w:type="dxa" w:w="6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Habilitación de módulos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Catálogo de repuestos contra el ERP (con definición de qué lista de precios se usa) y asistente IA con su cuota configurada.</w:t>
            </w:r>
          </w:p>
        </w:tc>
      </w:tr>
      <w:tr>
        <w:trPr>
          <w:tblHeader w:val="off"/>
        </w:trPr>
        <w:tc>
          <w:tcPr>
            <w:tcW w:type="dxa" w:w="6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Garantía de arranque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días desde la puesta en marcha para ajustes, consultas y correcciones, sin costo adicional.</w:t>
            </w:r>
          </w:p>
        </w:tc>
      </w:tr>
    </w:tbl>
    <w:p>
      <w:pPr>
        <w:spacing w:after="1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Condiciones comerciales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Ajuste de precio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abono base se ajusta una vez al año por el IPC (INDEC) publicado, en la fecha de aniversario del contrato.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Estructura de cobro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mes 1 se factura en un solo pago de ARS 500.000, que incluye la puesta en marcha y el primer mes de servicio. Del mes 2 en adelante, el abono es de ARS 300.000 por mes.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Precio de lista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ARS 300.000 por mes es el precio de lista del abono, sin salto de precio por antigüedad ni por volumen.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Plazo mínimo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meses. Es el tiempo mínimo para que la puesta en marcha se amortice y para que el catálogo de repuestos y el asistente rendigan.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 de pago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Mensual, por adelantado, contra factura electrónica (AFIP/ARCA). El abono se emite el primer día de cada mes.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Bonificaciones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meses de abono abonados por adelantado: 2 meses sin cargo (ARS 3.000.000 por año). La puesta en marcha no se bonifica.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Preaviso de 60 días. El cliente conserva la exportación de sus datos en formato aberto y el acceso de lectura durante los 90 días siguientes a la baja.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Propiedad de los datos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datos son de Electrotecniref. El historial migrado, las OTs, los clientes y los cierres pertenecen al cliente.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Compromisos de servicio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Estos compromisos son la parte del contrato que sostiene el resto de la propuesta. Se aplican desde la puesta en marcha.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Compromiso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6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Infraestructura en la plataforma de Vogel, con ambiente de pruebas separado de producción.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Respuesta ante incidentes</w:t>
            </w:r>
          </w:p>
        </w:tc>
        <w:tc>
          <w:tcPr>
            <w:tcW w:type="dxa" w:w="6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Incidente crítico (sistema no disponible): 4 horas hábiles. Incidente alto: 8 horas hábiles. Resto: 2 días hábiles.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Horizonte de atención</w:t>
            </w:r>
          </w:p>
        </w:tc>
        <w:tc>
          <w:tcPr>
            <w:tcW w:type="dxa" w:w="6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Lunes a viernes de 9 a 18 (GMT-3), con guardia para incidentes críticos los fines de semana mediante contacto asignado.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Respaldo y recuperación</w:t>
            </w:r>
          </w:p>
        </w:tc>
        <w:tc>
          <w:tcPr>
            <w:tcW w:type="dxa" w:w="6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Respaldo automático diario de la base, con una ventana de pérdida máxima de datos (RPO) de 24 horas y recuperación (RTO) en 8 horas hábiles, con prueba de restauración mensual. Es parte de la puesta en marcha y se verifica con el cliente antes de dar por iniciada la operación.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6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Ventana única los domingos por la noche, con aviso previo. Las actualizaciones no rompen el flujo de trabajo.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 y exportabilidad</w:t>
            </w:r>
          </w:p>
        </w:tc>
        <w:tc>
          <w:tcPr>
            <w:tcW w:type="dxa" w:w="6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exportación de la información del cliente en formatos abiertos se habilita durante la puesta en marcha, para que el cliente nunca quede atado a la plataforma.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Evolución</w:t>
            </w:r>
          </w:p>
        </w:tc>
        <w:tc>
          <w:tcPr>
            <w:tcW w:type="dxa" w:w="6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roadmap se define en conjunto con el cliente. Las mejoras que el sistema necesita para el taller entran en el abono; los desarrollos puntuales se cotizan aparte.</w:t>
            </w:r>
          </w:p>
        </w:tc>
      </w:tr>
    </w:tbl>
    <w:p>
      <w:pPr>
        <w:spacing w:after="100"/>
      </w:pP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Estos compromisos se mantienen durante toda la vigencia del contrato, con la única revisión anual de precio por el IPC. El abono incluye el soporte y la atención de incidentes que estos compromisos requieren.</w:t>
      </w:r>
    </w:p>
    <w:p>
      <w:pPr>
        <w:spacing w:after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Qué se factura aparte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Sólo tres cosas, y las tres se miden con el propio sistema. No hay cargos inesperados.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1"/>
          <w:szCs w:val="21"/>
        </w:rPr>
        <w:t xml:space="preserve">Consumo de IA por encima de los USD 30 incluidos: se factura al costo medido de los tokens más un 30%.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1"/>
          <w:szCs w:val="21"/>
        </w:rPr>
        <w:t xml:space="preserve">Mensajes de WhatsApp por encima de los 400 incluidos: se facturan al costo de Meta según el consumo real registrado. Electrotecniref puede usar su propia instancia y su propia línea, con lo que la facturación de Meta le llega directamente y ese consumo no se descuenta del abono.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1"/>
          <w:szCs w:val="21"/>
        </w:rPr>
        <w:t xml:space="preserve">Desarrollo a medida: cualquier funcionalidad que no esté en el roadmap se cotiza por escrito antes de empezar.</w:t>
      </w:r>
    </w:p>
    <w:p>
      <w:pPr>
        <w:spacing w:after="14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Todo lo demás —órdenes de trabajo, clientes, cierre a marcas, catálogo de repuestos, usuarios, roles, WhatsApp, tableros, reportes y el historial completo— está dentro del abono base.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Cómo se avanza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38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ocurre</w:t>
            </w:r>
          </w:p>
        </w:tc>
        <w:tc>
          <w:tcPr>
            <w:tcW w:type="dxa" w:w="3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Aceptación de esta propuesta y definición del plazo de inicio.</w:t>
            </w:r>
          </w:p>
        </w:tc>
        <w:tc>
          <w:tcPr>
            <w:tcW w:type="dxa" w:w="3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Electrotecniref y Vogel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Definición de la lista de precios del catálogo de repuestos, confirmación de la cuota inicial de IA y definición de si los avisos al cliente salen por la línea de la plataforma o por la línea de Electrotecniref.</w:t>
            </w:r>
          </w:p>
        </w:tc>
        <w:tc>
          <w:tcPr>
            <w:tcW w:type="dxa" w:w="3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conjunto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Corte a producción con el histórico y verificación de un cierre contra el legacy.</w:t>
            </w:r>
          </w:p>
        </w:tc>
        <w:tc>
          <w:tcPr>
            <w:tcW w:type="dxa" w:w="3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Vogel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 de usuarios, configuración y 2 jornadas de capacitación.</w:t>
            </w:r>
          </w:p>
        </w:tc>
        <w:tc>
          <w:tcPr>
            <w:tcW w:type="dxa" w:w="3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conjunto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Comienza el abono mensual de ARS 300.000. 30 días de garantía de arranque.</w:t>
            </w:r>
          </w:p>
        </w:tc>
        <w:tc>
          <w:tcPr>
            <w:tcW w:type="dxa" w:w="3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Vogel</w:t>
            </w:r>
          </w:p>
        </w:tc>
      </w:tr>
    </w:tbl>
    <w:p>
      <w:pPr>
        <w:spacing w:after="200"/>
      </w:pPr>
    </w:p>
    <w:p>
      <w:pPr>
        <w:spacing w:after="2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Para avanzar, alcanza con una respuesta a esta propuesta y una fecha de reunión para el paso 2.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Cualquier duda sobre los números, los límites o el roadmap, la respondemos antes de firmar.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595959"/>
        <w:sz w:val="16"/>
        <w:szCs w:val="16"/>
      </w:rPr>
      <w:t xml:space="preserve">Vogel Gestión de Servicios — Propuesta de abono mensual · Electrotecniref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</w:r>
    <w:r>
      <w:rPr>
        <w:rFonts w:ascii="Arial" w:cs="Arial" w:eastAsia="Arial" w:hAnsi="Arial"/>
        <w:color w:val="595959"/>
        <w:sz w:val="16"/>
        <w:szCs w:val="16"/>
      </w:rPr>
      <w:instrText xml:space="preserve">PAGE</w:instrText>
    </w:r>
    <w:r>
      <w:rPr>
        <w:rFonts w:ascii="Arial" w:cs="Arial" w:eastAsia="Arial" w:hAnsi="Arial"/>
        <w:color w:val="595959"/>
        <w:sz w:val="16"/>
        <w:szCs w:val="16"/>
      </w:rPr>
      <w:fldChar w:fldCharType="separate"/>
    </w:r>
    <w:r>
      <w:rPr>
        <w:rFonts w:ascii="Arial" w:cs="Arial" w:eastAsia="Arial" w:hAnsi="Arial"/>
        <w:color w:val="595959"/>
        <w:sz w:val="16"/>
        <w:szCs w:val="16"/>
      </w:rPr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</w:r>
    <w:r>
      <w:rPr>
        <w:rFonts w:ascii="Arial" w:cs="Arial" w:eastAsia="Arial" w:hAnsi="Arial"/>
        <w:color w:val="595959"/>
        <w:sz w:val="16"/>
        <w:szCs w:val="16"/>
      </w:rPr>
      <w:instrText xml:space="preserve">NUMPAGES</w:instrText>
    </w:r>
    <w:r>
      <w:rPr>
        <w:rFonts w:ascii="Arial" w:cs="Arial" w:eastAsia="Arial" w:hAnsi="Arial"/>
        <w:color w:val="595959"/>
        <w:sz w:val="16"/>
        <w:szCs w:val="16"/>
      </w:rPr>
      <w:fldChar w:fldCharType="separate"/>
    </w:r>
    <w:r>
      <w:rPr>
        <w:rFonts w:ascii="Arial" w:cs="Arial" w:eastAsia="Arial" w:hAnsi="Arial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abono mensual — Vogel Gestión de Servicios</dc:title>
  <dc:creator>Vogel Consultoría</dc:creator>
  <dc:description>Propuesta de abono mensual para Electrotecniref</dc:description>
  <cp:lastModifiedBy>Un-named</cp:lastModifiedBy>
  <cp:revision>1</cp:revision>
  <dcterms:created xsi:type="dcterms:W3CDTF">2026-10-26T20:58:48.468Z</dcterms:created>
  <dcterms:modified xsi:type="dcterms:W3CDTF">2026-10-26T20:58:48.469Z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