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01090" w14:textId="112C18A9" w:rsidR="003F6EA1" w:rsidRDefault="003F6EA1" w:rsidP="003F6EA1">
      <w:pPr>
        <w:tabs>
          <w:tab w:val="left" w:pos="1730"/>
        </w:tabs>
        <w:jc w:val="center"/>
        <w:rPr>
          <w:rFonts w:ascii="Arial" w:hAnsi="Arial" w:cs="Arial"/>
          <w:b/>
          <w:bCs/>
          <w:sz w:val="24"/>
          <w:szCs w:val="24"/>
        </w:rPr>
      </w:pPr>
      <w:r w:rsidRPr="003F6EA1">
        <w:rPr>
          <w:rFonts w:ascii="Arial" w:hAnsi="Arial" w:cs="Arial"/>
          <w:b/>
          <w:bCs/>
          <w:sz w:val="24"/>
          <w:szCs w:val="24"/>
        </w:rPr>
        <w:t>Términos y Condiciones</w:t>
      </w:r>
      <w:r>
        <w:rPr>
          <w:rFonts w:ascii="Arial" w:hAnsi="Arial" w:cs="Arial"/>
          <w:b/>
          <w:bCs/>
          <w:sz w:val="24"/>
          <w:szCs w:val="24"/>
        </w:rPr>
        <w:t xml:space="preserve"> de Legalflow, S.A. de C.V.</w:t>
      </w:r>
    </w:p>
    <w:p w14:paraId="0F1698BB" w14:textId="77777777" w:rsidR="003F6EA1" w:rsidRPr="003F6EA1" w:rsidRDefault="003F6EA1" w:rsidP="003F6EA1">
      <w:pPr>
        <w:tabs>
          <w:tab w:val="left" w:pos="1730"/>
        </w:tabs>
        <w:jc w:val="center"/>
        <w:rPr>
          <w:rFonts w:ascii="Arial" w:hAnsi="Arial" w:cs="Arial"/>
          <w:b/>
          <w:bCs/>
          <w:sz w:val="24"/>
          <w:szCs w:val="24"/>
        </w:rPr>
      </w:pPr>
    </w:p>
    <w:p w14:paraId="4FE8104B"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La contratación, adquisición, acceso o utilización de cualquiera de los servicios ofrecidos por Legalflow implica la aceptación plena e incondicional de los presentes Términos y Condiciones por parte de la persona usuaria o contratante.</w:t>
      </w:r>
    </w:p>
    <w:p w14:paraId="14C5FEFD"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La persona usuaria manifiesta contar con capacidad legal suficiente para obligarse en términos del presente instrumento y reconoce que ha leído, comprendido y aceptado su contenido.</w:t>
      </w:r>
    </w:p>
    <w:p w14:paraId="0AD3FF6A" w14:textId="70EDE68B" w:rsidR="003F6EA1" w:rsidRPr="003F6EA1" w:rsidRDefault="003F6EA1" w:rsidP="003F6EA1">
      <w:pPr>
        <w:tabs>
          <w:tab w:val="left" w:pos="1730"/>
        </w:tabs>
        <w:jc w:val="both"/>
        <w:rPr>
          <w:rFonts w:ascii="Arial" w:hAnsi="Arial" w:cs="Arial"/>
          <w:b/>
          <w:bCs/>
          <w:sz w:val="24"/>
          <w:szCs w:val="24"/>
        </w:rPr>
      </w:pPr>
      <w:r w:rsidRPr="003F6EA1">
        <w:rPr>
          <w:rFonts w:ascii="Arial" w:hAnsi="Arial" w:cs="Arial"/>
          <w:b/>
          <w:bCs/>
          <w:sz w:val="24"/>
          <w:szCs w:val="24"/>
        </w:rPr>
        <w:t>I. Objeto de los Servicios</w:t>
      </w:r>
    </w:p>
    <w:p w14:paraId="01FA2E46"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Legalflow se obliga a prestar servicios de consultoría, asesoría, gestión, acompañamiento, análisis, planeación, coordinación, representación, elaboración de documentos y, en general, cualquier otro servicio profesional, técnico, administrativo, operativo o de apoyo relacionado directa o indirectamente con las actividades, necesidades, operaciones, proyectos, negocios o fines que formen parte de su objeto social.</w:t>
      </w:r>
    </w:p>
    <w:p w14:paraId="75CDDFB6"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Salvo acuerdo expreso por escrito, la prestación de los servicios no implica la representación legal de la persona usuaria ante autoridades administrativas, judiciales o de cualquier otra naturaleza.</w:t>
      </w:r>
    </w:p>
    <w:p w14:paraId="760C305E"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La prestación de los servicios estará condicionada a que la persona usuaria proporcione de manera oportuna la información, documentación, instrucciones, autorizaciones y demás elementos que resulten necesarios para la adecuada ejecución de los servicios contratados.</w:t>
      </w:r>
    </w:p>
    <w:p w14:paraId="4CA8829B" w14:textId="71B24D91" w:rsidR="003F6EA1" w:rsidRPr="003F6EA1" w:rsidRDefault="003F6EA1" w:rsidP="003F6EA1">
      <w:pPr>
        <w:tabs>
          <w:tab w:val="left" w:pos="1730"/>
        </w:tabs>
        <w:jc w:val="both"/>
        <w:rPr>
          <w:rFonts w:ascii="Arial" w:hAnsi="Arial" w:cs="Arial"/>
          <w:b/>
          <w:bCs/>
          <w:sz w:val="24"/>
          <w:szCs w:val="24"/>
        </w:rPr>
      </w:pPr>
      <w:r w:rsidRPr="003F6EA1">
        <w:rPr>
          <w:rFonts w:ascii="Arial" w:hAnsi="Arial" w:cs="Arial"/>
          <w:b/>
          <w:bCs/>
          <w:sz w:val="24"/>
          <w:szCs w:val="24"/>
        </w:rPr>
        <w:t>II. Pagos</w:t>
      </w:r>
    </w:p>
    <w:p w14:paraId="77A742E8"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La persona contratante se obliga a cubrir el importe correspondiente a los servicios contratados mediante los medios de pago autorizados por Legalflow.</w:t>
      </w:r>
    </w:p>
    <w:p w14:paraId="66BEACE0"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Todos los pagos realizados tendrán el carácter de definitivos y se considerarán aplicados a la disponibilidad de recursos humanos, materiales, tecnológicos y administrativos destinados a la ejecución de los servicios contratados.</w:t>
      </w:r>
    </w:p>
    <w:p w14:paraId="3BFAEB1C"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Salvo disposición expresa en contrario, los honorarios de Legalflow no incluyen impuestos, derechos gubernamentales, gastos de gestoría, honorarios notariales, traducciones, certificaciones, legalizaciones, apostillas, gastos de viaje, gastos de terceros ni cualquier otro costo adicional que pudiera generarse con motivo de la prestación de los servicios.</w:t>
      </w:r>
    </w:p>
    <w:p w14:paraId="241A73EE" w14:textId="62DE3908" w:rsidR="003F6EA1" w:rsidRPr="003F6EA1" w:rsidRDefault="003F6EA1" w:rsidP="003F6EA1">
      <w:pPr>
        <w:tabs>
          <w:tab w:val="left" w:pos="1730"/>
        </w:tabs>
        <w:jc w:val="both"/>
        <w:rPr>
          <w:rFonts w:ascii="Arial" w:hAnsi="Arial" w:cs="Arial"/>
          <w:b/>
          <w:bCs/>
          <w:sz w:val="24"/>
          <w:szCs w:val="24"/>
        </w:rPr>
      </w:pPr>
      <w:r w:rsidRPr="003F6EA1">
        <w:rPr>
          <w:rFonts w:ascii="Arial" w:hAnsi="Arial" w:cs="Arial"/>
          <w:b/>
          <w:bCs/>
          <w:sz w:val="24"/>
          <w:szCs w:val="24"/>
        </w:rPr>
        <w:t>III. Cancelaciones, Suspensión de Servicios y Reembolsos</w:t>
      </w:r>
    </w:p>
    <w:p w14:paraId="25DE3460"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 xml:space="preserve">La persona contratante reconoce que, una vez realizado el pago y aceptada la contratación, Legalflow podrá iniciar actividades de análisis, planeación, </w:t>
      </w:r>
      <w:r w:rsidRPr="003F6EA1">
        <w:rPr>
          <w:rFonts w:ascii="Arial" w:hAnsi="Arial" w:cs="Arial"/>
          <w:sz w:val="24"/>
          <w:szCs w:val="24"/>
        </w:rPr>
        <w:lastRenderedPageBreak/>
        <w:t>organización, asignación de recursos, elaboración documental y demás actos necesarios para la prestación de los servicios.</w:t>
      </w:r>
    </w:p>
    <w:p w14:paraId="588C0238"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En caso de que la persona contratante:</w:t>
      </w:r>
    </w:p>
    <w:p w14:paraId="607B8454" w14:textId="77777777" w:rsidR="003F6EA1" w:rsidRDefault="003F6EA1" w:rsidP="003F6EA1">
      <w:pPr>
        <w:pStyle w:val="Prrafodelista"/>
        <w:numPr>
          <w:ilvl w:val="0"/>
          <w:numId w:val="4"/>
        </w:numPr>
        <w:tabs>
          <w:tab w:val="left" w:pos="1730"/>
        </w:tabs>
        <w:jc w:val="both"/>
        <w:rPr>
          <w:rFonts w:ascii="Arial" w:hAnsi="Arial" w:cs="Arial"/>
          <w:sz w:val="24"/>
          <w:szCs w:val="24"/>
        </w:rPr>
      </w:pPr>
      <w:r w:rsidRPr="003F6EA1">
        <w:rPr>
          <w:rFonts w:ascii="Arial" w:hAnsi="Arial" w:cs="Arial"/>
          <w:sz w:val="24"/>
          <w:szCs w:val="24"/>
        </w:rPr>
        <w:t>Decida no continuar con el servicio contratado;</w:t>
      </w:r>
    </w:p>
    <w:p w14:paraId="6C00FC00" w14:textId="77777777" w:rsidR="003F6EA1" w:rsidRDefault="003F6EA1" w:rsidP="003F6EA1">
      <w:pPr>
        <w:pStyle w:val="Prrafodelista"/>
        <w:numPr>
          <w:ilvl w:val="0"/>
          <w:numId w:val="4"/>
        </w:numPr>
        <w:tabs>
          <w:tab w:val="left" w:pos="1730"/>
        </w:tabs>
        <w:jc w:val="both"/>
        <w:rPr>
          <w:rFonts w:ascii="Arial" w:hAnsi="Arial" w:cs="Arial"/>
          <w:sz w:val="24"/>
          <w:szCs w:val="24"/>
        </w:rPr>
      </w:pPr>
      <w:r w:rsidRPr="003F6EA1">
        <w:rPr>
          <w:rFonts w:ascii="Arial" w:hAnsi="Arial" w:cs="Arial"/>
          <w:sz w:val="24"/>
          <w:szCs w:val="24"/>
        </w:rPr>
        <w:t>Omita proporcionar información o documentación requerida;</w:t>
      </w:r>
    </w:p>
    <w:p w14:paraId="12D2E4C9" w14:textId="77777777" w:rsidR="003F6EA1" w:rsidRDefault="003F6EA1" w:rsidP="003F6EA1">
      <w:pPr>
        <w:pStyle w:val="Prrafodelista"/>
        <w:numPr>
          <w:ilvl w:val="0"/>
          <w:numId w:val="4"/>
        </w:numPr>
        <w:tabs>
          <w:tab w:val="left" w:pos="1730"/>
        </w:tabs>
        <w:jc w:val="both"/>
        <w:rPr>
          <w:rFonts w:ascii="Arial" w:hAnsi="Arial" w:cs="Arial"/>
          <w:sz w:val="24"/>
          <w:szCs w:val="24"/>
        </w:rPr>
      </w:pPr>
      <w:r w:rsidRPr="003F6EA1">
        <w:rPr>
          <w:rFonts w:ascii="Arial" w:hAnsi="Arial" w:cs="Arial"/>
          <w:sz w:val="24"/>
          <w:szCs w:val="24"/>
        </w:rPr>
        <w:t>Proporcione información falsa, incompleta o inexacta; o</w:t>
      </w:r>
    </w:p>
    <w:p w14:paraId="0E3DF2CB" w14:textId="25B7AF75" w:rsidR="003F6EA1" w:rsidRPr="003F6EA1" w:rsidRDefault="003F6EA1" w:rsidP="003F6EA1">
      <w:pPr>
        <w:pStyle w:val="Prrafodelista"/>
        <w:numPr>
          <w:ilvl w:val="0"/>
          <w:numId w:val="4"/>
        </w:numPr>
        <w:tabs>
          <w:tab w:val="left" w:pos="1730"/>
        </w:tabs>
        <w:jc w:val="both"/>
        <w:rPr>
          <w:rFonts w:ascii="Arial" w:hAnsi="Arial" w:cs="Arial"/>
          <w:sz w:val="24"/>
          <w:szCs w:val="24"/>
        </w:rPr>
      </w:pPr>
      <w:r w:rsidRPr="003F6EA1">
        <w:rPr>
          <w:rFonts w:ascii="Arial" w:hAnsi="Arial" w:cs="Arial"/>
          <w:sz w:val="24"/>
          <w:szCs w:val="24"/>
        </w:rPr>
        <w:t>Permanezca inactiva durante un periodo superior a noventa días naturales;</w:t>
      </w:r>
    </w:p>
    <w:p w14:paraId="7997FE0E"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Legalflow podrá suspender o dar por terminada la prestación de los servicios sin responsabilidad alguna.</w:t>
      </w:r>
    </w:p>
    <w:p w14:paraId="56FA54A6"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Los pagos efectuados no serán reembolsables, salvo que Legalflow determine expresamente lo contrario por escrito. Lo anterior aplicará independientemente de la etapa de avance del servicio, de los gastos efectuados o de las actividades desarrolladas por Legalflow o terceros relacionados con la prestación de los servicios.</w:t>
      </w:r>
    </w:p>
    <w:p w14:paraId="5C8E3DFE" w14:textId="7430C33F" w:rsidR="003F6EA1" w:rsidRPr="003F6EA1" w:rsidRDefault="003F6EA1" w:rsidP="003F6EA1">
      <w:pPr>
        <w:tabs>
          <w:tab w:val="left" w:pos="1730"/>
        </w:tabs>
        <w:jc w:val="both"/>
        <w:rPr>
          <w:rFonts w:ascii="Arial" w:hAnsi="Arial" w:cs="Arial"/>
          <w:b/>
          <w:bCs/>
          <w:sz w:val="24"/>
          <w:szCs w:val="24"/>
        </w:rPr>
      </w:pPr>
      <w:r>
        <w:rPr>
          <w:rFonts w:ascii="Arial" w:hAnsi="Arial" w:cs="Arial"/>
          <w:b/>
          <w:bCs/>
          <w:sz w:val="24"/>
          <w:szCs w:val="24"/>
        </w:rPr>
        <w:t>IV</w:t>
      </w:r>
      <w:r w:rsidRPr="003F6EA1">
        <w:rPr>
          <w:rFonts w:ascii="Arial" w:hAnsi="Arial" w:cs="Arial"/>
          <w:b/>
          <w:bCs/>
          <w:sz w:val="24"/>
          <w:szCs w:val="24"/>
        </w:rPr>
        <w:t>. Propiedad Intelectual</w:t>
      </w:r>
    </w:p>
    <w:p w14:paraId="57ED235F"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Todos los documentos, formatos, metodologías, procesos, manuales, sistemas, desarrollos, contenidos, materiales y demás elementos utilizados por Legalflow para la prestación de sus servicios son y seguirán siendo propiedad exclusiva de Legalflow o de sus respectivos titulares.</w:t>
      </w:r>
    </w:p>
    <w:p w14:paraId="3F72D525"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La contratación de los servicios no implica transmisión alguna de derechos de propiedad intelectual a favor de la persona usuaria, salvo autorización expresa y por escrito de Legalflow.</w:t>
      </w:r>
    </w:p>
    <w:p w14:paraId="3367B9EB" w14:textId="31675209" w:rsidR="003F6EA1" w:rsidRPr="003F6EA1" w:rsidRDefault="003F6EA1" w:rsidP="003F6EA1">
      <w:pPr>
        <w:tabs>
          <w:tab w:val="left" w:pos="1730"/>
        </w:tabs>
        <w:jc w:val="both"/>
        <w:rPr>
          <w:rFonts w:ascii="Arial" w:hAnsi="Arial" w:cs="Arial"/>
          <w:b/>
          <w:bCs/>
          <w:sz w:val="24"/>
          <w:szCs w:val="24"/>
        </w:rPr>
      </w:pPr>
      <w:r w:rsidRPr="003F6EA1">
        <w:rPr>
          <w:rFonts w:ascii="Arial" w:hAnsi="Arial" w:cs="Arial"/>
          <w:b/>
          <w:bCs/>
          <w:sz w:val="24"/>
          <w:szCs w:val="24"/>
        </w:rPr>
        <w:t>V. Modificaciones</w:t>
      </w:r>
    </w:p>
    <w:p w14:paraId="2D543F2B" w14:textId="77777777" w:rsidR="003F6EA1" w:rsidRPr="003F6EA1" w:rsidRDefault="003F6EA1" w:rsidP="003F6EA1">
      <w:pPr>
        <w:tabs>
          <w:tab w:val="left" w:pos="1730"/>
        </w:tabs>
        <w:jc w:val="both"/>
        <w:rPr>
          <w:rFonts w:ascii="Arial" w:hAnsi="Arial" w:cs="Arial"/>
          <w:sz w:val="24"/>
          <w:szCs w:val="24"/>
        </w:rPr>
      </w:pPr>
      <w:r w:rsidRPr="003F6EA1">
        <w:rPr>
          <w:rFonts w:ascii="Arial" w:hAnsi="Arial" w:cs="Arial"/>
          <w:sz w:val="24"/>
          <w:szCs w:val="24"/>
        </w:rPr>
        <w:t>Legalflow podrá modificar en cualquier momento los presentes Términos y Condiciones para adecuarlos a cambios legales, regulatorios, operativos o comerciales. Las modificaciones entrarán en vigor a partir de su publicación por los medios que Legalflow determine para tal efecto.</w:t>
      </w:r>
    </w:p>
    <w:p w14:paraId="4A6BB499" w14:textId="285A4D14" w:rsidR="009D2D52" w:rsidRDefault="003F6EA1" w:rsidP="009D2D52">
      <w:pPr>
        <w:tabs>
          <w:tab w:val="left" w:pos="1730"/>
        </w:tabs>
        <w:jc w:val="both"/>
        <w:rPr>
          <w:rFonts w:ascii="Arial" w:hAnsi="Arial" w:cs="Arial"/>
          <w:b/>
          <w:bCs/>
          <w:sz w:val="24"/>
          <w:szCs w:val="24"/>
        </w:rPr>
      </w:pPr>
      <w:r w:rsidRPr="003F6EA1">
        <w:rPr>
          <w:rFonts w:ascii="Arial" w:hAnsi="Arial" w:cs="Arial"/>
          <w:b/>
          <w:bCs/>
          <w:sz w:val="24"/>
          <w:szCs w:val="24"/>
        </w:rPr>
        <w:t xml:space="preserve">X. </w:t>
      </w:r>
      <w:r w:rsidR="009D2D52">
        <w:rPr>
          <w:rFonts w:ascii="Arial" w:hAnsi="Arial" w:cs="Arial"/>
          <w:b/>
          <w:bCs/>
          <w:sz w:val="24"/>
          <w:szCs w:val="24"/>
        </w:rPr>
        <w:t>Datos personales de los usuarios</w:t>
      </w:r>
    </w:p>
    <w:p w14:paraId="27C4B214" w14:textId="557FCB9E" w:rsidR="009D2D52" w:rsidRPr="009D2D52" w:rsidRDefault="009D2D52" w:rsidP="009D2D52">
      <w:pPr>
        <w:tabs>
          <w:tab w:val="left" w:pos="1730"/>
        </w:tabs>
        <w:jc w:val="both"/>
        <w:rPr>
          <w:rFonts w:ascii="Arial" w:hAnsi="Arial" w:cs="Arial"/>
          <w:sz w:val="24"/>
          <w:szCs w:val="24"/>
        </w:rPr>
      </w:pPr>
      <w:r w:rsidRPr="009D2D52">
        <w:rPr>
          <w:rFonts w:ascii="Arial" w:hAnsi="Arial" w:cs="Arial"/>
          <w:sz w:val="24"/>
          <w:szCs w:val="24"/>
        </w:rPr>
        <w:t>Legalflow tratará los datos personales proporcionados por la persona usuaria de conformidad con la legislación aplicable en materia de protección de datos personales y con su respectivo Aviso de Privacidad.</w:t>
      </w:r>
    </w:p>
    <w:p w14:paraId="3FF074F2" w14:textId="5A7FF653" w:rsidR="009D2D52" w:rsidRPr="009D2D52" w:rsidRDefault="009D2D52" w:rsidP="009D2D52">
      <w:pPr>
        <w:tabs>
          <w:tab w:val="left" w:pos="1730"/>
        </w:tabs>
        <w:jc w:val="both"/>
        <w:rPr>
          <w:rFonts w:ascii="Arial" w:hAnsi="Arial" w:cs="Arial"/>
          <w:sz w:val="24"/>
          <w:szCs w:val="24"/>
        </w:rPr>
      </w:pPr>
      <w:r w:rsidRPr="009D2D52">
        <w:rPr>
          <w:rFonts w:ascii="Arial" w:hAnsi="Arial" w:cs="Arial"/>
          <w:sz w:val="24"/>
          <w:szCs w:val="24"/>
        </w:rPr>
        <w:t>La persona usuaria reconoce y acepta que</w:t>
      </w:r>
      <w:r w:rsidR="008B1DA2">
        <w:rPr>
          <w:rFonts w:ascii="Arial" w:hAnsi="Arial" w:cs="Arial"/>
          <w:sz w:val="24"/>
          <w:szCs w:val="24"/>
        </w:rPr>
        <w:t xml:space="preserve"> </w:t>
      </w:r>
      <w:r w:rsidRPr="009D2D52">
        <w:rPr>
          <w:rFonts w:ascii="Arial" w:hAnsi="Arial" w:cs="Arial"/>
          <w:sz w:val="24"/>
          <w:szCs w:val="24"/>
        </w:rPr>
        <w:t>ningún sistema de almacenamiento, transmisión o procesamiento de información es completamente seguro o inmune a vulneraciones.</w:t>
      </w:r>
    </w:p>
    <w:p w14:paraId="06C32CED" w14:textId="77777777" w:rsidR="009D2D52" w:rsidRPr="009D2D52" w:rsidRDefault="009D2D52" w:rsidP="009D2D52">
      <w:pPr>
        <w:tabs>
          <w:tab w:val="left" w:pos="1730"/>
        </w:tabs>
        <w:jc w:val="both"/>
        <w:rPr>
          <w:rFonts w:ascii="Arial" w:hAnsi="Arial" w:cs="Arial"/>
          <w:sz w:val="24"/>
          <w:szCs w:val="24"/>
        </w:rPr>
      </w:pPr>
    </w:p>
    <w:p w14:paraId="6036ACCE" w14:textId="1E392309" w:rsidR="009D2D52" w:rsidRPr="009D2D52" w:rsidRDefault="009D2D52" w:rsidP="009D2D52">
      <w:pPr>
        <w:tabs>
          <w:tab w:val="left" w:pos="1730"/>
        </w:tabs>
        <w:jc w:val="both"/>
        <w:rPr>
          <w:rFonts w:ascii="Arial" w:hAnsi="Arial" w:cs="Arial"/>
          <w:sz w:val="24"/>
          <w:szCs w:val="24"/>
        </w:rPr>
      </w:pPr>
      <w:r w:rsidRPr="009D2D52">
        <w:rPr>
          <w:rFonts w:ascii="Arial" w:hAnsi="Arial" w:cs="Arial"/>
          <w:sz w:val="24"/>
          <w:szCs w:val="24"/>
        </w:rPr>
        <w:lastRenderedPageBreak/>
        <w:t xml:space="preserve">En consecuencia, </w:t>
      </w:r>
      <w:r w:rsidR="00BB1CAA">
        <w:rPr>
          <w:rFonts w:ascii="Arial" w:hAnsi="Arial" w:cs="Arial"/>
          <w:sz w:val="24"/>
          <w:szCs w:val="24"/>
        </w:rPr>
        <w:t xml:space="preserve">el usuario acepta que </w:t>
      </w:r>
      <w:r w:rsidRPr="009D2D52">
        <w:rPr>
          <w:rFonts w:ascii="Arial" w:hAnsi="Arial" w:cs="Arial"/>
          <w:sz w:val="24"/>
          <w:szCs w:val="24"/>
        </w:rPr>
        <w:t>Legalflow no será responsable por accesos no autorizados, ataques informáticos, actos de piratería informática, virus, malware, vulneraciones de seguridad, interceptaciones de comunicaciones, filtraciones de información o cualquier otro incidente de ciberseguridad ocasionado por terceros ajenos a su control razonable, siempre que Legalflow haya actuado conforme a la legislación aplicable y hubiera implementado medidas de seguridad razonablemente adecuadas para la naturaleza de la información tratada</w:t>
      </w:r>
    </w:p>
    <w:p w14:paraId="41C1E38D" w14:textId="5E07789C" w:rsidR="00156A60" w:rsidRDefault="009D2D52" w:rsidP="00C31100">
      <w:pPr>
        <w:tabs>
          <w:tab w:val="left" w:pos="1730"/>
        </w:tabs>
        <w:jc w:val="both"/>
        <w:rPr>
          <w:rFonts w:ascii="Arial" w:hAnsi="Arial" w:cs="Arial"/>
          <w:sz w:val="24"/>
          <w:szCs w:val="24"/>
        </w:rPr>
      </w:pPr>
      <w:r w:rsidRPr="009D2D52">
        <w:rPr>
          <w:rFonts w:ascii="Arial" w:hAnsi="Arial" w:cs="Arial"/>
          <w:sz w:val="24"/>
          <w:szCs w:val="24"/>
        </w:rPr>
        <w:t>En ningún caso Legalflow será responsable por daños indirectos, incidentales, consecuenciales, lucro cesante, pérdida de oportunidades de negocio o perjuicios derivados de eventos de seguridad ocasionados por terceros fuera de su control razonable.</w:t>
      </w:r>
    </w:p>
    <w:p w14:paraId="2572D65D" w14:textId="77777777" w:rsidR="00156A60" w:rsidRDefault="00156A60" w:rsidP="00C31100">
      <w:pPr>
        <w:tabs>
          <w:tab w:val="left" w:pos="1730"/>
        </w:tabs>
        <w:jc w:val="both"/>
        <w:rPr>
          <w:rFonts w:ascii="Arial" w:hAnsi="Arial" w:cs="Arial"/>
          <w:sz w:val="24"/>
          <w:szCs w:val="24"/>
        </w:rPr>
      </w:pPr>
    </w:p>
    <w:p w14:paraId="456DE75A" w14:textId="32A449AB" w:rsidR="00156A60" w:rsidRPr="006423C5" w:rsidRDefault="0027786B" w:rsidP="00C31100">
      <w:pPr>
        <w:tabs>
          <w:tab w:val="left" w:pos="1730"/>
        </w:tabs>
        <w:jc w:val="both"/>
        <w:rPr>
          <w:rFonts w:ascii="Arial" w:hAnsi="Arial" w:cs="Arial"/>
          <w:sz w:val="24"/>
          <w:szCs w:val="24"/>
        </w:rPr>
      </w:pPr>
      <w:r>
        <w:rPr>
          <w:rFonts w:ascii="Arial" w:hAnsi="Arial" w:cs="Arial"/>
          <w:sz w:val="24"/>
          <w:szCs w:val="24"/>
        </w:rPr>
        <w:t xml:space="preserve">Última fecha de </w:t>
      </w:r>
      <w:r w:rsidR="00156A60">
        <w:rPr>
          <w:rFonts w:ascii="Arial" w:hAnsi="Arial" w:cs="Arial"/>
          <w:sz w:val="24"/>
          <w:szCs w:val="24"/>
        </w:rPr>
        <w:t xml:space="preserve">actualización: </w:t>
      </w:r>
      <w:r w:rsidR="003C6406">
        <w:rPr>
          <w:rFonts w:ascii="Arial" w:hAnsi="Arial" w:cs="Arial"/>
          <w:sz w:val="24"/>
          <w:szCs w:val="24"/>
        </w:rPr>
        <w:t>01</w:t>
      </w:r>
      <w:r w:rsidR="00EB2266">
        <w:rPr>
          <w:rFonts w:ascii="Arial" w:hAnsi="Arial" w:cs="Arial"/>
          <w:sz w:val="24"/>
          <w:szCs w:val="24"/>
        </w:rPr>
        <w:t xml:space="preserve"> de junio de 2026. </w:t>
      </w:r>
    </w:p>
    <w:sectPr w:rsidR="00156A60" w:rsidRPr="006423C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643C8"/>
    <w:multiLevelType w:val="hybridMultilevel"/>
    <w:tmpl w:val="EEC20D82"/>
    <w:lvl w:ilvl="0" w:tplc="96BAC79A">
      <w:start w:val="1"/>
      <w:numFmt w:val="lowerLetter"/>
      <w:lvlText w:val="%1)"/>
      <w:lvlJc w:val="left"/>
      <w:pPr>
        <w:ind w:left="1164" w:hanging="804"/>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448E2B90"/>
    <w:multiLevelType w:val="hybridMultilevel"/>
    <w:tmpl w:val="1CE039D8"/>
    <w:lvl w:ilvl="0" w:tplc="44E6B0B8">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5BB87B2C"/>
    <w:multiLevelType w:val="hybridMultilevel"/>
    <w:tmpl w:val="3820A432"/>
    <w:lvl w:ilvl="0" w:tplc="1F74083C">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A1E45B9"/>
    <w:multiLevelType w:val="hybridMultilevel"/>
    <w:tmpl w:val="070CA6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34067269">
    <w:abstractNumId w:val="2"/>
  </w:num>
  <w:num w:numId="2" w16cid:durableId="2134057851">
    <w:abstractNumId w:val="3"/>
  </w:num>
  <w:num w:numId="3" w16cid:durableId="1816533068">
    <w:abstractNumId w:val="0"/>
  </w:num>
  <w:num w:numId="4" w16cid:durableId="1828016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D4E"/>
    <w:rsid w:val="000014BC"/>
    <w:rsid w:val="000054C6"/>
    <w:rsid w:val="000307BE"/>
    <w:rsid w:val="00053097"/>
    <w:rsid w:val="00075448"/>
    <w:rsid w:val="0008273F"/>
    <w:rsid w:val="000832AB"/>
    <w:rsid w:val="000A5002"/>
    <w:rsid w:val="000C17EC"/>
    <w:rsid w:val="000F457D"/>
    <w:rsid w:val="001140B3"/>
    <w:rsid w:val="00156A60"/>
    <w:rsid w:val="00196083"/>
    <w:rsid w:val="001A2561"/>
    <w:rsid w:val="001E4476"/>
    <w:rsid w:val="001F2A40"/>
    <w:rsid w:val="0027786B"/>
    <w:rsid w:val="00287698"/>
    <w:rsid w:val="002F1BAC"/>
    <w:rsid w:val="00314E5D"/>
    <w:rsid w:val="0033403A"/>
    <w:rsid w:val="00371E47"/>
    <w:rsid w:val="003806A5"/>
    <w:rsid w:val="0039608B"/>
    <w:rsid w:val="003C6406"/>
    <w:rsid w:val="003F6EA1"/>
    <w:rsid w:val="00477180"/>
    <w:rsid w:val="004B4B70"/>
    <w:rsid w:val="004C4D4E"/>
    <w:rsid w:val="005D3C67"/>
    <w:rsid w:val="006423C5"/>
    <w:rsid w:val="0067419A"/>
    <w:rsid w:val="006837C7"/>
    <w:rsid w:val="006B2DB9"/>
    <w:rsid w:val="00715141"/>
    <w:rsid w:val="007771C2"/>
    <w:rsid w:val="007D30FE"/>
    <w:rsid w:val="008354F7"/>
    <w:rsid w:val="00893105"/>
    <w:rsid w:val="008B1DA2"/>
    <w:rsid w:val="008D12D8"/>
    <w:rsid w:val="008D42F2"/>
    <w:rsid w:val="00944918"/>
    <w:rsid w:val="00997587"/>
    <w:rsid w:val="009D2D52"/>
    <w:rsid w:val="00A053E2"/>
    <w:rsid w:val="00A21877"/>
    <w:rsid w:val="00A6624F"/>
    <w:rsid w:val="00AB0C28"/>
    <w:rsid w:val="00B15697"/>
    <w:rsid w:val="00B771D3"/>
    <w:rsid w:val="00BB1CAA"/>
    <w:rsid w:val="00C31100"/>
    <w:rsid w:val="00C50457"/>
    <w:rsid w:val="00C623A1"/>
    <w:rsid w:val="00C94143"/>
    <w:rsid w:val="00D35CD0"/>
    <w:rsid w:val="00E07B7C"/>
    <w:rsid w:val="00E8132B"/>
    <w:rsid w:val="00EA51CC"/>
    <w:rsid w:val="00EB2266"/>
    <w:rsid w:val="00F16E47"/>
    <w:rsid w:val="00FC1586"/>
    <w:rsid w:val="00FD5EB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5C303"/>
  <w15:chartTrackingRefBased/>
  <w15:docId w15:val="{883CA0FC-6F96-43F8-B5D1-D48B3477C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4D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C4D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C4D4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C4D4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C4D4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C4D4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C4D4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C4D4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C4D4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C4D4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C4D4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C4D4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C4D4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C4D4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C4D4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C4D4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C4D4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C4D4E"/>
    <w:rPr>
      <w:rFonts w:eastAsiaTheme="majorEastAsia" w:cstheme="majorBidi"/>
      <w:color w:val="272727" w:themeColor="text1" w:themeTint="D8"/>
    </w:rPr>
  </w:style>
  <w:style w:type="paragraph" w:styleId="Ttulo">
    <w:name w:val="Title"/>
    <w:basedOn w:val="Normal"/>
    <w:next w:val="Normal"/>
    <w:link w:val="TtuloCar"/>
    <w:uiPriority w:val="10"/>
    <w:qFormat/>
    <w:rsid w:val="004C4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C4D4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C4D4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C4D4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C4D4E"/>
    <w:pPr>
      <w:spacing w:before="160"/>
      <w:jc w:val="center"/>
    </w:pPr>
    <w:rPr>
      <w:i/>
      <w:iCs/>
      <w:color w:val="404040" w:themeColor="text1" w:themeTint="BF"/>
    </w:rPr>
  </w:style>
  <w:style w:type="character" w:customStyle="1" w:styleId="CitaCar">
    <w:name w:val="Cita Car"/>
    <w:basedOn w:val="Fuentedeprrafopredeter"/>
    <w:link w:val="Cita"/>
    <w:uiPriority w:val="29"/>
    <w:rsid w:val="004C4D4E"/>
    <w:rPr>
      <w:i/>
      <w:iCs/>
      <w:color w:val="404040" w:themeColor="text1" w:themeTint="BF"/>
    </w:rPr>
  </w:style>
  <w:style w:type="paragraph" w:styleId="Prrafodelista">
    <w:name w:val="List Paragraph"/>
    <w:basedOn w:val="Normal"/>
    <w:uiPriority w:val="34"/>
    <w:qFormat/>
    <w:rsid w:val="004C4D4E"/>
    <w:pPr>
      <w:ind w:left="720"/>
      <w:contextualSpacing/>
    </w:pPr>
  </w:style>
  <w:style w:type="character" w:styleId="nfasisintenso">
    <w:name w:val="Intense Emphasis"/>
    <w:basedOn w:val="Fuentedeprrafopredeter"/>
    <w:uiPriority w:val="21"/>
    <w:qFormat/>
    <w:rsid w:val="004C4D4E"/>
    <w:rPr>
      <w:i/>
      <w:iCs/>
      <w:color w:val="0F4761" w:themeColor="accent1" w:themeShade="BF"/>
    </w:rPr>
  </w:style>
  <w:style w:type="paragraph" w:styleId="Citadestacada">
    <w:name w:val="Intense Quote"/>
    <w:basedOn w:val="Normal"/>
    <w:next w:val="Normal"/>
    <w:link w:val="CitadestacadaCar"/>
    <w:uiPriority w:val="30"/>
    <w:qFormat/>
    <w:rsid w:val="004C4D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C4D4E"/>
    <w:rPr>
      <w:i/>
      <w:iCs/>
      <w:color w:val="0F4761" w:themeColor="accent1" w:themeShade="BF"/>
    </w:rPr>
  </w:style>
  <w:style w:type="character" w:styleId="Referenciaintensa">
    <w:name w:val="Intense Reference"/>
    <w:basedOn w:val="Fuentedeprrafopredeter"/>
    <w:uiPriority w:val="32"/>
    <w:qFormat/>
    <w:rsid w:val="004C4D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3</Pages>
  <Words>801</Words>
  <Characters>4411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Rusconi Sauza</dc:creator>
  <cp:keywords/>
  <dc:description/>
  <cp:lastModifiedBy>Rusconi Sauza</cp:lastModifiedBy>
  <cp:revision>52</cp:revision>
  <dcterms:created xsi:type="dcterms:W3CDTF">2026-05-28T16:56:00Z</dcterms:created>
  <dcterms:modified xsi:type="dcterms:W3CDTF">2026-06-03T16:02:00Z</dcterms:modified>
</cp:coreProperties>
</file>