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sz w:val="32"/>
          <w:szCs w:val="32"/>
          <w:u w:val="single"/>
        </w:rPr>
      </w:pPr>
      <w:bookmarkStart w:colFirst="0" w:colLast="0" w:name="_piextrm1u3at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4. Análisis de costes</w:t>
      </w:r>
    </w:p>
    <w:p w:rsidR="00000000" w:rsidDel="00000000" w:rsidP="00000000" w:rsidRDefault="00000000" w:rsidRPr="00000000" w14:paraId="00000002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  <w:t xml:space="preserve">A continuación, se muestra una tabla desglosada con todos los gastos referentes a cada parte del proyecto pudiendo obtener así el coste final del desarrollo:</w:t>
      </w:r>
    </w:p>
    <w:p w:rsidR="00000000" w:rsidDel="00000000" w:rsidP="00000000" w:rsidRDefault="00000000" w:rsidRPr="00000000" w14:paraId="00000004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265"/>
        <w:gridCol w:w="1110"/>
        <w:gridCol w:w="1215"/>
        <w:gridCol w:w="1950"/>
        <w:tblGridChange w:id="0">
          <w:tblGrid>
            <w:gridCol w:w="2385"/>
            <w:gridCol w:w="2265"/>
            <w:gridCol w:w="1110"/>
            <w:gridCol w:w="1215"/>
            <w:gridCol w:w="1950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TAREA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(€)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ACUMULADO (€)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 INICIADO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ORGANIZACIÓN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Y DISEÑO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DE ANÁLISIS Y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LA BBDD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Y DESPLIEGUE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7.261</w:t>
            </w:r>
          </w:p>
        </w:tc>
      </w:tr>
    </w:tbl>
    <w:p w:rsidR="00000000" w:rsidDel="00000000" w:rsidP="00000000" w:rsidRDefault="00000000" w:rsidRPr="00000000" w14:paraId="00000047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valoración sólo se consideran los aspectos del propio desarrollo sin tener en</w:t>
      </w:r>
    </w:p>
    <w:p w:rsidR="00000000" w:rsidDel="00000000" w:rsidP="00000000" w:rsidRDefault="00000000" w:rsidRPr="00000000" w14:paraId="0000004A">
      <w:pPr>
        <w:tabs>
          <w:tab w:val="right" w:leader="dot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cuenta los requisitos de hardware y software que se deberán adquirir para la puesta en marcha de la aplicación.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