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8EF" w:rsidRPr="00D03446" w:rsidRDefault="004C4715" w:rsidP="004D593C">
      <w:pPr>
        <w:pStyle w:val="Listenabsatz"/>
        <w:spacing w:after="0" w:line="300" w:lineRule="atLeast"/>
        <w:ind w:left="0" w:right="140"/>
        <w:jc w:val="both"/>
        <w:rPr>
          <w:rFonts w:ascii="Times New Roman" w:hAnsi="Times New Roman" w:cs="Times New Roman"/>
          <w:b/>
          <w:sz w:val="24"/>
          <w:szCs w:val="24"/>
        </w:rPr>
      </w:pPr>
      <w:r w:rsidRPr="00D03446">
        <w:rPr>
          <w:rFonts w:ascii="Times New Roman" w:hAnsi="Times New Roman" w:cs="Times New Roman"/>
          <w:b/>
          <w:sz w:val="24"/>
          <w:szCs w:val="24"/>
        </w:rPr>
        <w:t>Didaktische Hinweise</w:t>
      </w:r>
    </w:p>
    <w:p w:rsidR="003E58EF" w:rsidRPr="00D03446" w:rsidRDefault="003E58EF" w:rsidP="00D03446">
      <w:pPr>
        <w:pStyle w:val="Listenabsatz"/>
        <w:spacing w:after="0" w:line="240" w:lineRule="auto"/>
        <w:ind w:left="0" w:right="140"/>
        <w:jc w:val="both"/>
        <w:rPr>
          <w:rFonts w:ascii="Times New Roman" w:hAnsi="Times New Roman" w:cs="Times New Roman"/>
          <w:sz w:val="24"/>
          <w:szCs w:val="24"/>
        </w:rPr>
      </w:pPr>
    </w:p>
    <w:p w:rsidR="004C4715" w:rsidRPr="00D03446" w:rsidRDefault="003E58EF" w:rsidP="00D03446">
      <w:pPr>
        <w:pStyle w:val="Listenabsatz"/>
        <w:spacing w:after="0" w:line="240" w:lineRule="auto"/>
        <w:ind w:left="0" w:right="140"/>
        <w:jc w:val="both"/>
        <w:rPr>
          <w:rFonts w:ascii="Times New Roman" w:hAnsi="Times New Roman" w:cs="Times New Roman"/>
          <w:sz w:val="24"/>
          <w:szCs w:val="24"/>
        </w:rPr>
      </w:pPr>
      <w:r w:rsidRPr="00D03446">
        <w:rPr>
          <w:rFonts w:ascii="Times New Roman" w:hAnsi="Times New Roman" w:cs="Times New Roman"/>
          <w:sz w:val="24"/>
          <w:szCs w:val="24"/>
        </w:rPr>
        <w:t>D</w:t>
      </w:r>
      <w:r w:rsidRPr="00D03446">
        <w:rPr>
          <w:rFonts w:ascii="Times New Roman" w:hAnsi="Times New Roman" w:cs="Times New Roman"/>
          <w:sz w:val="24"/>
          <w:szCs w:val="24"/>
        </w:rPr>
        <w:t>as</w:t>
      </w:r>
      <w:r w:rsidRPr="00D03446">
        <w:rPr>
          <w:rFonts w:ascii="Times New Roman" w:hAnsi="Times New Roman" w:cs="Times New Roman"/>
          <w:sz w:val="24"/>
          <w:szCs w:val="24"/>
        </w:rPr>
        <w:t xml:space="preserve"> </w:t>
      </w:r>
      <w:r w:rsidRPr="00D03446">
        <w:rPr>
          <w:rFonts w:ascii="Times New Roman" w:hAnsi="Times New Roman" w:cs="Times New Roman"/>
          <w:sz w:val="24"/>
          <w:szCs w:val="24"/>
        </w:rPr>
        <w:t>vorgestellt</w:t>
      </w:r>
      <w:r w:rsidRPr="00D03446">
        <w:rPr>
          <w:rFonts w:ascii="Times New Roman" w:hAnsi="Times New Roman" w:cs="Times New Roman"/>
          <w:sz w:val="24"/>
          <w:szCs w:val="24"/>
        </w:rPr>
        <w:t xml:space="preserve">e </w:t>
      </w:r>
      <w:r w:rsidRPr="00D03446">
        <w:rPr>
          <w:rFonts w:ascii="Times New Roman" w:hAnsi="Times New Roman" w:cs="Times New Roman"/>
          <w:sz w:val="24"/>
          <w:szCs w:val="24"/>
        </w:rPr>
        <w:t xml:space="preserve">Projekt </w:t>
      </w:r>
      <w:r w:rsidRPr="00D03446">
        <w:rPr>
          <w:rFonts w:ascii="Times New Roman" w:hAnsi="Times New Roman" w:cs="Times New Roman"/>
          <w:sz w:val="24"/>
          <w:szCs w:val="24"/>
        </w:rPr>
        <w:t>gehört zum Themenfeld „</w:t>
      </w:r>
      <w:r w:rsidRPr="00D03446">
        <w:rPr>
          <w:rFonts w:ascii="Times New Roman" w:hAnsi="Times New Roman" w:cs="Times New Roman"/>
          <w:sz w:val="24"/>
          <w:szCs w:val="24"/>
        </w:rPr>
        <w:t>4.1 Datenbanken</w:t>
      </w:r>
      <w:r w:rsidRPr="00D03446">
        <w:rPr>
          <w:rFonts w:ascii="Times New Roman" w:hAnsi="Times New Roman" w:cs="Times New Roman"/>
          <w:sz w:val="24"/>
          <w:szCs w:val="24"/>
        </w:rPr>
        <w:t xml:space="preserve">“ (RLP S. </w:t>
      </w:r>
      <w:r w:rsidRPr="00D03446">
        <w:rPr>
          <w:rFonts w:ascii="Times New Roman" w:hAnsi="Times New Roman" w:cs="Times New Roman"/>
          <w:sz w:val="24"/>
          <w:szCs w:val="24"/>
        </w:rPr>
        <w:t>19</w:t>
      </w:r>
      <w:r w:rsidRPr="00D03446">
        <w:rPr>
          <w:rFonts w:ascii="Times New Roman" w:hAnsi="Times New Roman" w:cs="Times New Roman"/>
          <w:sz w:val="24"/>
          <w:szCs w:val="24"/>
        </w:rPr>
        <w:t xml:space="preserve">) und ist im 1. Kurshalbjahr „Datenbanken und Softwareentwicklung I“ </w:t>
      </w:r>
      <w:r w:rsidRPr="00D03446">
        <w:rPr>
          <w:rFonts w:ascii="Times New Roman" w:hAnsi="Times New Roman" w:cs="Times New Roman"/>
          <w:sz w:val="24"/>
          <w:szCs w:val="24"/>
        </w:rPr>
        <w:t xml:space="preserve">sowohl im Grund- als auch im Leistungskurs </w:t>
      </w:r>
      <w:r w:rsidRPr="00D03446">
        <w:rPr>
          <w:rFonts w:ascii="Times New Roman" w:hAnsi="Times New Roman" w:cs="Times New Roman"/>
          <w:sz w:val="24"/>
          <w:szCs w:val="24"/>
        </w:rPr>
        <w:t>(RLP S. 25</w:t>
      </w:r>
      <w:r w:rsidRPr="00D03446">
        <w:rPr>
          <w:rFonts w:ascii="Times New Roman" w:hAnsi="Times New Roman" w:cs="Times New Roman"/>
          <w:sz w:val="24"/>
          <w:szCs w:val="24"/>
        </w:rPr>
        <w:t xml:space="preserve"> bzw. 27</w:t>
      </w:r>
      <w:r w:rsidRPr="00D03446">
        <w:rPr>
          <w:rFonts w:ascii="Times New Roman" w:hAnsi="Times New Roman" w:cs="Times New Roman"/>
          <w:sz w:val="24"/>
          <w:szCs w:val="24"/>
        </w:rPr>
        <w:t xml:space="preserve">) </w:t>
      </w:r>
      <w:r w:rsidRPr="00D03446">
        <w:rPr>
          <w:rFonts w:ascii="Times New Roman" w:hAnsi="Times New Roman" w:cs="Times New Roman"/>
          <w:sz w:val="24"/>
          <w:szCs w:val="24"/>
        </w:rPr>
        <w:t>einsetzbar</w:t>
      </w:r>
      <w:r w:rsidRPr="00D03446">
        <w:rPr>
          <w:rFonts w:ascii="Times New Roman" w:hAnsi="Times New Roman" w:cs="Times New Roman"/>
          <w:sz w:val="24"/>
          <w:szCs w:val="24"/>
        </w:rPr>
        <w:t>.</w:t>
      </w:r>
      <w:r w:rsidRPr="00D03446">
        <w:rPr>
          <w:rFonts w:ascii="Times New Roman" w:hAnsi="Times New Roman" w:cs="Times New Roman"/>
          <w:sz w:val="24"/>
          <w:szCs w:val="24"/>
        </w:rPr>
        <w:t xml:space="preserve"> Alternativ kann das Projekt auch im 3. Kurshalbjahr genutzt werden. Für den Einsatz im Zusatzkurs bietet sich ebenfalls das 3. Kurshalbjahr</w:t>
      </w:r>
      <w:r w:rsidRPr="00D03446">
        <w:rPr>
          <w:rFonts w:ascii="Times New Roman" w:hAnsi="Times New Roman" w:cs="Times New Roman"/>
          <w:sz w:val="24"/>
          <w:szCs w:val="24"/>
        </w:rPr>
        <w:t xml:space="preserve"> (RLP S. 2</w:t>
      </w:r>
      <w:r w:rsidRPr="00D03446">
        <w:rPr>
          <w:rFonts w:ascii="Times New Roman" w:hAnsi="Times New Roman" w:cs="Times New Roman"/>
          <w:sz w:val="24"/>
          <w:szCs w:val="24"/>
        </w:rPr>
        <w:t>4)</w:t>
      </w:r>
      <w:r w:rsidR="004C4715" w:rsidRPr="00D03446">
        <w:rPr>
          <w:rFonts w:ascii="Times New Roman" w:hAnsi="Times New Roman" w:cs="Times New Roman"/>
          <w:sz w:val="24"/>
          <w:szCs w:val="24"/>
        </w:rPr>
        <w:t xml:space="preserve"> an.</w:t>
      </w:r>
    </w:p>
    <w:p w:rsidR="004D593C" w:rsidRPr="00D03446" w:rsidRDefault="004D593C" w:rsidP="00D03446">
      <w:pPr>
        <w:pStyle w:val="Listenabsatz"/>
        <w:spacing w:after="0" w:line="240" w:lineRule="auto"/>
        <w:ind w:left="0" w:right="140"/>
        <w:jc w:val="both"/>
        <w:rPr>
          <w:rFonts w:ascii="Times New Roman" w:hAnsi="Times New Roman" w:cs="Times New Roman"/>
          <w:sz w:val="24"/>
          <w:szCs w:val="24"/>
        </w:rPr>
      </w:pPr>
    </w:p>
    <w:p w:rsidR="003E58EF" w:rsidRPr="00D03446" w:rsidRDefault="004C4715" w:rsidP="00D03446">
      <w:pPr>
        <w:pStyle w:val="Listenabsatz"/>
        <w:spacing w:after="0" w:line="240" w:lineRule="auto"/>
        <w:ind w:left="0" w:right="140"/>
        <w:jc w:val="both"/>
        <w:rPr>
          <w:rFonts w:ascii="Times New Roman" w:hAnsi="Times New Roman" w:cs="Times New Roman"/>
          <w:sz w:val="24"/>
          <w:szCs w:val="24"/>
        </w:rPr>
      </w:pPr>
      <w:r w:rsidRPr="00D03446">
        <w:rPr>
          <w:rFonts w:ascii="Times New Roman" w:hAnsi="Times New Roman" w:cs="Times New Roman"/>
          <w:sz w:val="24"/>
          <w:szCs w:val="24"/>
        </w:rPr>
        <w:t xml:space="preserve">Die vorgestellte Miniwelt der Computerspiele ist modular aufgebaut. D.h., Umfang und Schwierigkeitsgrad können an die jeweilige Schülerklientel angepasst werden. Die präsentierte Datenbank orientiert sich thematisch an der Erfahrungswelt der Schüler*innen und versucht den Spagat zwischen Aktualität und Zeitlosigkeit im Einsatz. Z.B. sind die Namen der Computerspiele an bekannte Spiele bewusst nur angelehnt. Auch die Namen und ergänzenden Angaben der Computerspieler sind erfunden, orientieren sich aber </w:t>
      </w:r>
      <w:r w:rsidR="00695E3D" w:rsidRPr="00D03446">
        <w:rPr>
          <w:rFonts w:ascii="Times New Roman" w:hAnsi="Times New Roman" w:cs="Times New Roman"/>
          <w:sz w:val="24"/>
          <w:szCs w:val="24"/>
        </w:rPr>
        <w:t>strukturell</w:t>
      </w:r>
      <w:r w:rsidRPr="00D03446">
        <w:rPr>
          <w:rFonts w:ascii="Times New Roman" w:hAnsi="Times New Roman" w:cs="Times New Roman"/>
          <w:sz w:val="24"/>
          <w:szCs w:val="24"/>
        </w:rPr>
        <w:t xml:space="preserve"> an realitätsnahen Vorbildern. </w:t>
      </w:r>
      <w:r w:rsidR="00695E3D" w:rsidRPr="00D03446">
        <w:rPr>
          <w:rFonts w:ascii="Times New Roman" w:hAnsi="Times New Roman" w:cs="Times New Roman"/>
          <w:sz w:val="24"/>
          <w:szCs w:val="24"/>
        </w:rPr>
        <w:t>Gleiches gilt für die vorgeschlagenen Kommentare und P</w:t>
      </w:r>
      <w:r w:rsidR="004D593C" w:rsidRPr="00D03446">
        <w:rPr>
          <w:rFonts w:ascii="Times New Roman" w:hAnsi="Times New Roman" w:cs="Times New Roman"/>
          <w:sz w:val="24"/>
          <w:szCs w:val="24"/>
        </w:rPr>
        <w:t>lattformen.</w:t>
      </w:r>
    </w:p>
    <w:p w:rsidR="004D593C" w:rsidRPr="00D03446" w:rsidRDefault="004D593C" w:rsidP="00D03446">
      <w:pPr>
        <w:pStyle w:val="Listenabsatz"/>
        <w:spacing w:after="0" w:line="240" w:lineRule="auto"/>
        <w:ind w:left="0" w:right="140"/>
        <w:jc w:val="both"/>
        <w:rPr>
          <w:rFonts w:ascii="Times New Roman" w:hAnsi="Times New Roman" w:cs="Times New Roman"/>
          <w:sz w:val="24"/>
          <w:szCs w:val="24"/>
        </w:rPr>
      </w:pPr>
    </w:p>
    <w:p w:rsidR="00F574DA" w:rsidRPr="00D03446" w:rsidRDefault="00695E3D" w:rsidP="00D03446">
      <w:pPr>
        <w:pStyle w:val="Listenabsatz"/>
        <w:spacing w:after="0" w:line="240" w:lineRule="auto"/>
        <w:ind w:left="0" w:right="140"/>
        <w:jc w:val="both"/>
        <w:rPr>
          <w:rFonts w:ascii="Times New Roman" w:hAnsi="Times New Roman" w:cs="Times New Roman"/>
          <w:sz w:val="24"/>
          <w:szCs w:val="24"/>
        </w:rPr>
      </w:pPr>
      <w:r w:rsidRPr="00D03446">
        <w:rPr>
          <w:rFonts w:ascii="Times New Roman" w:hAnsi="Times New Roman" w:cs="Times New Roman"/>
          <w:sz w:val="24"/>
          <w:szCs w:val="24"/>
        </w:rPr>
        <w:t>Der zeitliche Umfang des Projektes richtet sich natürlich nach der Lerngruppe. Die Datenbank erl</w:t>
      </w:r>
      <w:r w:rsidR="002B1F64" w:rsidRPr="00D03446">
        <w:rPr>
          <w:rFonts w:ascii="Times New Roman" w:hAnsi="Times New Roman" w:cs="Times New Roman"/>
          <w:sz w:val="24"/>
          <w:szCs w:val="24"/>
        </w:rPr>
        <w:t>aubt Schüleraktivitäten auf unterschiedlichen Niveaustufen. Vollumfänglich eingesetzt scheint eine Unterrichtsreihe von bis zu drei oder gar vier Wochen realistisch. Das Paket enthält:</w:t>
      </w:r>
    </w:p>
    <w:p w:rsidR="004D593C" w:rsidRPr="00D03446" w:rsidRDefault="004D593C" w:rsidP="00D03446">
      <w:pPr>
        <w:pStyle w:val="Listenabsatz"/>
        <w:spacing w:after="0" w:line="240" w:lineRule="auto"/>
        <w:ind w:left="0" w:right="140"/>
        <w:jc w:val="both"/>
        <w:rPr>
          <w:rFonts w:ascii="Times New Roman" w:hAnsi="Times New Roman" w:cs="Times New Roman"/>
          <w:sz w:val="24"/>
          <w:szCs w:val="24"/>
        </w:rPr>
      </w:pPr>
    </w:p>
    <w:p w:rsidR="00F574DA" w:rsidRPr="00D03446" w:rsidRDefault="002B1F64"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Miniwelt</w:t>
      </w:r>
      <w:r w:rsidR="00F574DA" w:rsidRPr="00D03446">
        <w:rPr>
          <w:rFonts w:ascii="Times New Roman" w:hAnsi="Times New Roman" w:cs="Times New Roman"/>
          <w:i/>
          <w:color w:val="FF0000"/>
          <w:sz w:val="24"/>
          <w:szCs w:val="24"/>
        </w:rPr>
        <w:t xml:space="preserve"> (unverzichtbar)</w:t>
      </w:r>
    </w:p>
    <w:p w:rsidR="00F574DA" w:rsidRPr="00D03446" w:rsidRDefault="002B1F64"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 xml:space="preserve">ER-Modell (inkl. </w:t>
      </w:r>
      <w:proofErr w:type="spellStart"/>
      <w:r w:rsidRPr="00D03446">
        <w:rPr>
          <w:rFonts w:ascii="Times New Roman" w:hAnsi="Times New Roman" w:cs="Times New Roman"/>
          <w:sz w:val="24"/>
          <w:szCs w:val="24"/>
        </w:rPr>
        <w:t>Attributierung</w:t>
      </w:r>
      <w:proofErr w:type="spellEnd"/>
      <w:r w:rsidRPr="00D03446">
        <w:rPr>
          <w:rFonts w:ascii="Times New Roman" w:hAnsi="Times New Roman" w:cs="Times New Roman"/>
          <w:sz w:val="24"/>
          <w:szCs w:val="24"/>
        </w:rPr>
        <w:t>, Schlüsselangabe und Komplexitäten)</w:t>
      </w:r>
      <w:r w:rsidR="00F574DA" w:rsidRPr="00D03446">
        <w:rPr>
          <w:rFonts w:ascii="Times New Roman" w:hAnsi="Times New Roman" w:cs="Times New Roman"/>
          <w:i/>
          <w:color w:val="FF0000"/>
          <w:sz w:val="24"/>
          <w:szCs w:val="24"/>
        </w:rPr>
        <w:t xml:space="preserve"> (unverzichtbar)</w:t>
      </w:r>
    </w:p>
    <w:p w:rsidR="00F574DA" w:rsidRPr="00D03446" w:rsidRDefault="002B1F64"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proofErr w:type="spellStart"/>
      <w:r w:rsidRPr="00D03446">
        <w:rPr>
          <w:rFonts w:ascii="Times New Roman" w:hAnsi="Times New Roman" w:cs="Times New Roman"/>
          <w:sz w:val="24"/>
          <w:szCs w:val="24"/>
        </w:rPr>
        <w:t>Relationenmodell</w:t>
      </w:r>
      <w:proofErr w:type="spellEnd"/>
      <w:r w:rsidRPr="00D03446">
        <w:rPr>
          <w:rFonts w:ascii="Times New Roman" w:hAnsi="Times New Roman" w:cs="Times New Roman"/>
          <w:sz w:val="24"/>
          <w:szCs w:val="24"/>
        </w:rPr>
        <w:t xml:space="preserve"> (inkl. der Schlüssel, Fremdschlüssel sowie der angewandten Transformationsregeln)</w:t>
      </w:r>
      <w:r w:rsidR="00F574DA" w:rsidRPr="00D03446">
        <w:rPr>
          <w:rFonts w:ascii="Times New Roman" w:hAnsi="Times New Roman" w:cs="Times New Roman"/>
          <w:i/>
          <w:color w:val="FF0000"/>
          <w:sz w:val="24"/>
          <w:szCs w:val="24"/>
        </w:rPr>
        <w:t xml:space="preserve"> (</w:t>
      </w:r>
      <w:r w:rsidR="00F574DA" w:rsidRPr="00D03446">
        <w:rPr>
          <w:rFonts w:ascii="Times New Roman" w:hAnsi="Times New Roman" w:cs="Times New Roman"/>
          <w:i/>
          <w:color w:val="FF0000"/>
          <w:sz w:val="24"/>
          <w:szCs w:val="24"/>
        </w:rPr>
        <w:t>fakultativ</w:t>
      </w:r>
      <w:r w:rsidR="00F574DA" w:rsidRPr="00D03446">
        <w:rPr>
          <w:rFonts w:ascii="Times New Roman" w:hAnsi="Times New Roman" w:cs="Times New Roman"/>
          <w:i/>
          <w:color w:val="FF0000"/>
          <w:sz w:val="24"/>
          <w:szCs w:val="24"/>
        </w:rPr>
        <w:t>)</w:t>
      </w:r>
    </w:p>
    <w:p w:rsidR="00F574DA" w:rsidRPr="00D03446" w:rsidRDefault="002B1F64"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Integri</w:t>
      </w:r>
      <w:r w:rsidR="00F574DA" w:rsidRPr="00D03446">
        <w:rPr>
          <w:rFonts w:ascii="Times New Roman" w:hAnsi="Times New Roman" w:cs="Times New Roman"/>
          <w:sz w:val="24"/>
          <w:szCs w:val="24"/>
        </w:rPr>
        <w:t xml:space="preserve">tätsbedingungen </w:t>
      </w:r>
      <w:r w:rsidR="00F574DA" w:rsidRPr="00D03446">
        <w:rPr>
          <w:rFonts w:ascii="Times New Roman" w:hAnsi="Times New Roman" w:cs="Times New Roman"/>
          <w:i/>
          <w:color w:val="FF0000"/>
          <w:sz w:val="24"/>
          <w:szCs w:val="24"/>
        </w:rPr>
        <w:t>(unverzichtbar)</w:t>
      </w:r>
      <w:r w:rsidR="00F574DA" w:rsidRPr="00D03446">
        <w:rPr>
          <w:rFonts w:ascii="Times New Roman" w:hAnsi="Times New Roman" w:cs="Times New Roman"/>
          <w:i/>
          <w:color w:val="FF0000"/>
          <w:sz w:val="24"/>
          <w:szCs w:val="24"/>
        </w:rPr>
        <w:t xml:space="preserve"> </w:t>
      </w:r>
      <w:r w:rsidR="00F574DA" w:rsidRPr="00D03446">
        <w:rPr>
          <w:rFonts w:ascii="Times New Roman" w:hAnsi="Times New Roman" w:cs="Times New Roman"/>
          <w:sz w:val="24"/>
          <w:szCs w:val="24"/>
        </w:rPr>
        <w:t>und funktionale</w:t>
      </w:r>
      <w:r w:rsidRPr="00D03446">
        <w:rPr>
          <w:rFonts w:ascii="Times New Roman" w:hAnsi="Times New Roman" w:cs="Times New Roman"/>
          <w:sz w:val="24"/>
          <w:szCs w:val="24"/>
        </w:rPr>
        <w:t xml:space="preserve"> Abhängigkeiten</w:t>
      </w:r>
      <w:r w:rsidR="00F574DA" w:rsidRPr="00D03446">
        <w:rPr>
          <w:rFonts w:ascii="Times New Roman" w:hAnsi="Times New Roman" w:cs="Times New Roman"/>
          <w:i/>
          <w:color w:val="FF0000"/>
          <w:sz w:val="24"/>
          <w:szCs w:val="24"/>
        </w:rPr>
        <w:t xml:space="preserve"> (</w:t>
      </w:r>
      <w:r w:rsidR="00F574DA" w:rsidRPr="00D03446">
        <w:rPr>
          <w:rFonts w:ascii="Times New Roman" w:hAnsi="Times New Roman" w:cs="Times New Roman"/>
          <w:i/>
          <w:color w:val="FF0000"/>
          <w:sz w:val="24"/>
          <w:szCs w:val="24"/>
        </w:rPr>
        <w:t>fakultativ</w:t>
      </w:r>
      <w:r w:rsidR="00F574DA" w:rsidRPr="00D03446">
        <w:rPr>
          <w:rFonts w:ascii="Times New Roman" w:hAnsi="Times New Roman" w:cs="Times New Roman"/>
          <w:i/>
          <w:color w:val="FF0000"/>
          <w:sz w:val="24"/>
          <w:szCs w:val="24"/>
        </w:rPr>
        <w:t>)</w:t>
      </w:r>
    </w:p>
    <w:p w:rsidR="00F574DA" w:rsidRPr="00D03446" w:rsidRDefault="00F574DA"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SQL-Datenbank und Beispielpopulationen in Tabellenform</w:t>
      </w:r>
      <w:r w:rsidRPr="00D03446">
        <w:rPr>
          <w:rFonts w:ascii="Times New Roman" w:hAnsi="Times New Roman" w:cs="Times New Roman"/>
          <w:i/>
          <w:color w:val="FF0000"/>
          <w:sz w:val="24"/>
          <w:szCs w:val="24"/>
        </w:rPr>
        <w:t>(unverzichtbar)</w:t>
      </w:r>
    </w:p>
    <w:p w:rsidR="00695E3D" w:rsidRPr="00D03446" w:rsidRDefault="00F574DA"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 xml:space="preserve">Aufgabensequenzen in RA und SQL inkl. der Musterlösungen und ggf. Alternativen </w:t>
      </w:r>
      <w:r w:rsidRPr="00D03446">
        <w:rPr>
          <w:rFonts w:ascii="Times New Roman" w:hAnsi="Times New Roman" w:cs="Times New Roman"/>
          <w:i/>
          <w:color w:val="FF0000"/>
          <w:sz w:val="24"/>
          <w:szCs w:val="24"/>
        </w:rPr>
        <w:t>(</w:t>
      </w:r>
      <w:r w:rsidRPr="00D03446">
        <w:rPr>
          <w:rFonts w:ascii="Times New Roman" w:hAnsi="Times New Roman" w:cs="Times New Roman"/>
          <w:i/>
          <w:color w:val="FF0000"/>
          <w:sz w:val="24"/>
          <w:szCs w:val="24"/>
        </w:rPr>
        <w:t>fakultativ</w:t>
      </w:r>
      <w:r w:rsidRPr="00D03446">
        <w:rPr>
          <w:rFonts w:ascii="Times New Roman" w:hAnsi="Times New Roman" w:cs="Times New Roman"/>
          <w:i/>
          <w:color w:val="FF0000"/>
          <w:sz w:val="24"/>
          <w:szCs w:val="24"/>
        </w:rPr>
        <w:t>)</w:t>
      </w:r>
    </w:p>
    <w:p w:rsidR="00F574DA" w:rsidRPr="00D03446" w:rsidRDefault="00F574DA" w:rsidP="00D03446">
      <w:pPr>
        <w:pStyle w:val="Listenabsatz"/>
        <w:numPr>
          <w:ilvl w:val="0"/>
          <w:numId w:val="1"/>
        </w:numPr>
        <w:spacing w:after="0" w:line="240" w:lineRule="auto"/>
        <w:ind w:left="714" w:right="142" w:hanging="357"/>
        <w:jc w:val="both"/>
        <w:rPr>
          <w:rFonts w:ascii="Times New Roman" w:hAnsi="Times New Roman" w:cs="Times New Roman"/>
          <w:sz w:val="24"/>
          <w:szCs w:val="24"/>
        </w:rPr>
      </w:pPr>
      <w:r w:rsidRPr="00D03446">
        <w:rPr>
          <w:rFonts w:ascii="Times New Roman" w:hAnsi="Times New Roman" w:cs="Times New Roman"/>
          <w:sz w:val="24"/>
          <w:szCs w:val="24"/>
        </w:rPr>
        <w:t xml:space="preserve">Interaktive Anwendung in PHP </w:t>
      </w:r>
      <w:r w:rsidRPr="00D03446">
        <w:rPr>
          <w:rFonts w:ascii="Times New Roman" w:hAnsi="Times New Roman" w:cs="Times New Roman"/>
          <w:i/>
          <w:color w:val="FF0000"/>
          <w:sz w:val="24"/>
          <w:szCs w:val="24"/>
        </w:rPr>
        <w:t>(</w:t>
      </w:r>
      <w:r w:rsidRPr="00D03446">
        <w:rPr>
          <w:rFonts w:ascii="Times New Roman" w:hAnsi="Times New Roman" w:cs="Times New Roman"/>
          <w:i/>
          <w:color w:val="FF0000"/>
          <w:sz w:val="24"/>
          <w:szCs w:val="24"/>
        </w:rPr>
        <w:t>fakultativ</w:t>
      </w:r>
      <w:r w:rsidRPr="00D03446">
        <w:rPr>
          <w:rFonts w:ascii="Times New Roman" w:hAnsi="Times New Roman" w:cs="Times New Roman"/>
          <w:i/>
          <w:color w:val="FF0000"/>
          <w:sz w:val="24"/>
          <w:szCs w:val="24"/>
        </w:rPr>
        <w:t>)</w:t>
      </w:r>
    </w:p>
    <w:p w:rsidR="00695E3D" w:rsidRPr="00D03446" w:rsidRDefault="00695E3D" w:rsidP="00D03446">
      <w:pPr>
        <w:pStyle w:val="Listenabsatz"/>
        <w:spacing w:after="0" w:line="240" w:lineRule="auto"/>
        <w:ind w:left="0" w:right="140"/>
        <w:jc w:val="both"/>
        <w:rPr>
          <w:rFonts w:ascii="Times New Roman" w:hAnsi="Times New Roman" w:cs="Times New Roman"/>
          <w:sz w:val="24"/>
          <w:szCs w:val="24"/>
        </w:rPr>
      </w:pPr>
    </w:p>
    <w:p w:rsidR="00695E3D" w:rsidRPr="00D03446" w:rsidRDefault="00695E3D" w:rsidP="00D03446">
      <w:pPr>
        <w:pStyle w:val="Listenabsatz"/>
        <w:spacing w:after="0" w:line="240" w:lineRule="auto"/>
        <w:ind w:left="0" w:right="140"/>
        <w:jc w:val="both"/>
        <w:rPr>
          <w:rFonts w:ascii="Times New Roman" w:hAnsi="Times New Roman" w:cs="Times New Roman"/>
          <w:sz w:val="24"/>
          <w:szCs w:val="24"/>
        </w:rPr>
      </w:pPr>
      <w:r w:rsidRPr="00D03446">
        <w:rPr>
          <w:rFonts w:ascii="Times New Roman" w:hAnsi="Times New Roman" w:cs="Times New Roman"/>
          <w:sz w:val="24"/>
          <w:szCs w:val="24"/>
        </w:rPr>
        <w:t>Die Aufgaben sind mittels Sternen (*: leicht - *****: herausfordernd) verschiedenen Schwierigkeitsgraden zugeordnet und erlauben die gezielte und binnendifferenzierende Adressierung der jeweiligen Schülerklientel. Da in allen Fällen Aufgaben und Lösungen angeboten werden, kann der Einsatz wunschgemäß angepasst werden. Z.B. können alternativ auch fertige SQL-Abfragen verbalisiert werden, RA-Abfragen in SQL überführt werden etc.</w:t>
      </w:r>
    </w:p>
    <w:p w:rsidR="00253EAF" w:rsidRPr="00D03446" w:rsidRDefault="00253EAF" w:rsidP="00D03446">
      <w:pPr>
        <w:contextualSpacing/>
        <w:jc w:val="both"/>
        <w:rPr>
          <w:rFonts w:ascii="Times New Roman" w:hAnsi="Times New Roman" w:cs="Times New Roman"/>
        </w:rPr>
      </w:pPr>
    </w:p>
    <w:p w:rsidR="004D593C" w:rsidRPr="00D03446" w:rsidRDefault="004D593C" w:rsidP="00D03446">
      <w:pPr>
        <w:contextualSpacing/>
        <w:jc w:val="both"/>
        <w:rPr>
          <w:rFonts w:ascii="Times New Roman" w:hAnsi="Times New Roman" w:cs="Times New Roman"/>
        </w:rPr>
      </w:pPr>
      <w:r w:rsidRPr="00D03446">
        <w:rPr>
          <w:rFonts w:ascii="Times New Roman" w:hAnsi="Times New Roman" w:cs="Times New Roman"/>
        </w:rPr>
        <w:t xml:space="preserve">Methodisch bietet sich die Umsetzung als unterrichtsbegleitendes Projekt in Gruppenarbeit an. Alternativ ist auch der durchgehende Einsatz an Projekttagen möglich. Die angebotene Population bietet lediglich einen Ansatz. Aus Gründen der Motivation, aber z.B. auch des besseren Kennenlernens der Datenbank bietet es sich in jedem Fall an, die Schüler*innen aufzufordern, die Datenbank mit eigenen Einträgen zu vervollständigen und zu aktualisieren. Der Umfang des angebotenen Materials lässt es günstig erscheinen, </w:t>
      </w:r>
      <w:proofErr w:type="gramStart"/>
      <w:r w:rsidRPr="00D03446">
        <w:rPr>
          <w:rFonts w:ascii="Times New Roman" w:hAnsi="Times New Roman" w:cs="Times New Roman"/>
        </w:rPr>
        <w:t>das</w:t>
      </w:r>
      <w:proofErr w:type="gramEnd"/>
      <w:r w:rsidRPr="00D03446">
        <w:rPr>
          <w:rFonts w:ascii="Times New Roman" w:hAnsi="Times New Roman" w:cs="Times New Roman"/>
        </w:rPr>
        <w:t xml:space="preserve"> die benötigten theoretischen Grundlagen projektbegleitend in Form einer Lerntheke oder eines Lernpfades der Lerngruppe zur Verfügung gestellt werden.</w:t>
      </w:r>
    </w:p>
    <w:p w:rsidR="00D03446" w:rsidRPr="00D03446" w:rsidRDefault="00D03446" w:rsidP="004D593C">
      <w:pPr>
        <w:spacing w:line="300" w:lineRule="atLeast"/>
        <w:jc w:val="both"/>
        <w:rPr>
          <w:rFonts w:ascii="Times New Roman" w:hAnsi="Times New Roman" w:cs="Times New Roman"/>
        </w:rPr>
      </w:pPr>
      <w:r>
        <w:rPr>
          <w:rFonts w:ascii="Times New Roman" w:hAnsi="Times New Roman" w:cs="Times New Roman"/>
        </w:rPr>
        <w:t>Weiterführend ist es überlegenswert, die angebotene Datenbank online zur Verfügung zu s</w:t>
      </w:r>
      <w:bookmarkStart w:id="0" w:name="_GoBack"/>
      <w:bookmarkEnd w:id="0"/>
      <w:r>
        <w:rPr>
          <w:rFonts w:ascii="Times New Roman" w:hAnsi="Times New Roman" w:cs="Times New Roman"/>
        </w:rPr>
        <w:t>tellen.</w:t>
      </w:r>
    </w:p>
    <w:sectPr w:rsidR="00D03446" w:rsidRPr="00D03446" w:rsidSect="000B45F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F7766"/>
    <w:multiLevelType w:val="hybridMultilevel"/>
    <w:tmpl w:val="C38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EF"/>
    <w:rsid w:val="000B45F2"/>
    <w:rsid w:val="00253EAF"/>
    <w:rsid w:val="002B1F64"/>
    <w:rsid w:val="003E58EF"/>
    <w:rsid w:val="004C4715"/>
    <w:rsid w:val="004D593C"/>
    <w:rsid w:val="00695E3D"/>
    <w:rsid w:val="007E6C6F"/>
    <w:rsid w:val="00D03446"/>
    <w:rsid w:val="00F57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731F2C8"/>
  <w15:chartTrackingRefBased/>
  <w15:docId w15:val="{77CE071B-F562-954B-883D-2E70EFFB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3E58EF"/>
    <w:pPr>
      <w:spacing w:after="200" w:line="276" w:lineRule="auto"/>
      <w:ind w:left="720"/>
      <w:contextualSpacing/>
    </w:pPr>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2590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3SPEqVC963ivWr6m</dc:creator>
  <cp:keywords/>
  <dc:description/>
  <cp:lastModifiedBy>3SPEqVC963ivWr6m</cp:lastModifiedBy>
  <cp:revision>2</cp:revision>
  <dcterms:created xsi:type="dcterms:W3CDTF">2018-06-11T07:08:00Z</dcterms:created>
  <dcterms:modified xsi:type="dcterms:W3CDTF">2018-06-11T08:15:00Z</dcterms:modified>
</cp:coreProperties>
</file>