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2E4057"/>
          <w:sz w:val="48"/>
          <w:szCs w:val="48"/>
        </w:rPr>
        <w:t xml:space="preserve">Detailed Manuscript Review</w:t>
      </w:r>
    </w:p>
    <w:p>
      <w:pPr>
        <w:spacing w:before="0" w:after="60"/>
        <w:jc w:val="center"/>
      </w:pPr>
      <w:r>
        <w:rPr>
          <w:rFonts w:ascii="Arial" w:cs="Arial" w:eastAsia="Arial" w:hAnsi="Arial"/>
          <w:color w:val="555555"/>
          <w:sz w:val="24"/>
          <w:szCs w:val="24"/>
        </w:rPr>
        <w:t xml:space="preserve">A Domain-Agnostic Agentic Architecture for Structured Extraction of Engineering Knowledge</w:t>
      </w:r>
    </w:p>
    <w:p>
      <w:pPr>
        <w:spacing w:before="0" w:after="40"/>
        <w:jc w:val="center"/>
      </w:pPr>
      <w:r>
        <w:rPr>
          <w:rFonts w:ascii="Arial" w:cs="Arial" w:eastAsia="Arial" w:hAnsi="Arial"/>
          <w:color w:val="777777"/>
          <w:sz w:val="20"/>
          <w:szCs w:val="20"/>
        </w:rPr>
        <w:t xml:space="preserve">Ikechukwu, Tarkian, Nambiar, Jonsson, Brax  —  Linköping University / Saab AB</w:t>
      </w:r>
    </w:p>
    <w:p>
      <w:pPr>
        <w:spacing w:before="0" w:after="360"/>
        <w:jc w:val="center"/>
      </w:pPr>
      <w:r>
        <w:rPr>
          <w:rFonts w:ascii="Arial" w:cs="Arial" w:eastAsia="Arial" w:hAnsi="Arial"/>
          <w:color w:val="999999"/>
          <w:sz w:val="18"/>
          <w:szCs w:val="18"/>
        </w:rPr>
        <w:t xml:space="preserve">Review Date: March 2026</w:t>
      </w:r>
    </w:p>
    <w:p>
      <w:pPr>
        <w:pStyle w:val="Heading1"/>
      </w:pPr>
      <w:r>
        <w:rPr>
          <w:rFonts w:ascii="Arial" w:cs="Arial" w:eastAsia="Arial" w:hAnsi="Arial"/>
          <w:b/>
          <w:bCs/>
          <w:color w:val="2E4057"/>
          <w:sz w:val="36"/>
          <w:szCs w:val="36"/>
        </w:rPr>
        <w:t xml:space="preserve">Overall Scorecard</w:t>
      </w:r>
    </w:p>
    <w:p>
      <w:pPr>
        <w:spacing w:before="80" w:after="80"/>
      </w:pPr>
      <w:r>
        <w:rPr>
          <w:rFonts w:ascii="Arial" w:cs="Arial" w:eastAsia="Arial" w:hAnsi="Arial"/>
          <w:sz w:val="20"/>
          <w:szCs w:val="20"/>
        </w:rPr>
        <w:t xml:space="preserve">Scores reflect the current draft across six quality dimensions. Each is detailed in the sections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rPr>
          <w:tblHeader/>
        </w:trP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4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Key Observation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Argument &amp; Logical Flow</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9A7D0A"/>
                <w:sz w:val="20"/>
                <w:szCs w:val="20"/>
              </w:rPr>
              <w:t xml:space="preserve">82/100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Strong B1→B2→B3 progression; some redundancy between §5 and §6</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Statistical Rigour</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9A7D0A"/>
                <w:sz w:val="20"/>
                <w:szCs w:val="20"/>
              </w:rPr>
              <w:t xml:space="preserve">74/100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McNemar applied correctly; n-pair inconsistencies need fixing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Clarity &amp; Precision</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9A7D0A"/>
                <w:sz w:val="20"/>
                <w:szCs w:val="20"/>
              </w:rPr>
              <w:t xml:space="preserve">78/100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Technical prose is clear; several sentences are over-long or ambiguous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Academic Tone &amp; Register</w:t>
            </w:r>
          </w:p>
        </w:tc>
        <w:tc>
          <w:tcPr>
            <w:tcW w:type="dxa" w:w="12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1E8449"/>
                <w:sz w:val="20"/>
                <w:szCs w:val="20"/>
              </w:rPr>
              <w:t xml:space="preserve">85/100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Appropriate; minor hedging issues in Discussion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Internal Consistency</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9A7D0A"/>
                <w:sz w:val="20"/>
                <w:szCs w:val="20"/>
              </w:rPr>
              <w:t xml:space="preserve">71/100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B1→B2 Case II n=30 vs n=100 discrepancy is a significant gap</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Conclusions &amp; Future Work</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9A7D0A"/>
                <w:sz w:val="20"/>
                <w:szCs w:val="20"/>
              </w:rPr>
              <w:t xml:space="preserve">80/100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Well-aligned with results; claims could be tightened</w:t>
            </w:r>
          </w:p>
        </w:tc>
      </w:tr>
    </w:tbl>
    <w:p>
      <w:pPr>
        <w:pBdr>
          <w:bottom w:val="single" w:color="CCCCCC" w:sz="4" w:space="1"/>
        </w:pBdr>
        <w:spacing w:before="160" w:after="160"/>
      </w:pPr>
    </w:p>
    <w:p>
      <w:pPr>
        <w:pStyle w:val="Heading1"/>
      </w:pPr>
      <w:r>
        <w:rPr>
          <w:rFonts w:ascii="Arial" w:cs="Arial" w:eastAsia="Arial" w:hAnsi="Arial"/>
          <w:b/>
          <w:bCs/>
          <w:color w:val="2E4057"/>
          <w:sz w:val="36"/>
          <w:szCs w:val="36"/>
        </w:rPr>
        <w:t xml:space="preserve">Section 5 — Evaluation</w:t>
      </w:r>
    </w:p>
    <w:p>
      <w:pPr>
        <w:spacing w:before="80" w:after="80"/>
      </w:pPr>
      <w:r>
        <w:rPr>
          <w:rFonts w:ascii="Arial" w:cs="Arial" w:eastAsia="Arial" w:hAnsi="Arial"/>
          <w:sz w:val="20"/>
          <w:szCs w:val="20"/>
        </w:rPr>
        <w:t xml:space="preserve">This is the most technically dense section and carries the paper's empirical weight. The layered B1/B2/B3 design is a genuine strength. However, several issues undermine the rigour of the reported statistics and the interpretability of certain numbers.</w:t>
      </w:r>
    </w:p>
    <w:p>
      <w:pPr>
        <w:pStyle w:val="Heading2"/>
        <w:spacing w:before="300" w:after="120"/>
      </w:pPr>
      <w:r>
        <w:rPr>
          <w:rFonts w:ascii="Arial" w:cs="Arial" w:eastAsia="Arial" w:hAnsi="Arial"/>
          <w:b/>
          <w:bCs/>
          <w:color w:val="2E4057"/>
          <w:sz w:val="28"/>
          <w:szCs w:val="28"/>
        </w:rPr>
        <w:t xml:space="preserve">§5.1 Experimental Setup</w:t>
      </w:r>
    </w:p>
    <w:p>
      <w:pPr>
        <w:spacing w:before="80" w:after="80"/>
      </w:pPr>
      <w:r>
        <w:rPr>
          <w:rFonts w:ascii="Arial" w:cs="Arial" w:eastAsia="Arial" w:hAnsi="Arial"/>
          <w:sz w:val="20"/>
          <w:szCs w:val="20"/>
        </w:rPr>
        <w:t xml:space="preserve">Line-by-line review:</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3200"/>
        <w:gridCol w:w="900"/>
      </w:tblGrid>
      <w:tr>
        <w:trPr>
          <w:tblHeader/>
        </w:trPr>
        <w:tc>
          <w:tcPr>
            <w:tcW w:type="dxa" w:w="1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Suggestion / Correction</w:t>
            </w:r>
          </w:p>
        </w:tc>
        <w:tc>
          <w:tcPr>
            <w:tcW w:type="dxa" w:w="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§5.1 ¶1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 evaluate the proposed RCP-based agentic framework on two industrial case studies using an annotated query set of 100 technical questions per case study (200 queries total)." — n=100 per domain is stated here, but §5.2.1 later uses n=30 for Case II statistical tests without explanation.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State from the outset that 100 queries were collected but only a subset (n=30) was used for statistical significance testing in Case II, and explain why. Alternatively, use the full n=100 consistently.</w:t>
            </w:r>
          </w:p>
        </w:tc>
        <w:tc>
          <w:tcPr>
            <w:tcW w:type="dxa" w:w="9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Critical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§5.1 B1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"chunk source text (800 characters, 100-character overlap)" — the chunking parameters are stated but never justified. Why 800/100? Is this a standard configuration, or was it tuned?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 a footnote or parenthetical: "standard defaults per LangChain documentation" or acknowledge if it was tuned. Tuned parameters would constitute a form of hyperparameter optimisation that should be disclosed.</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E67E22"/>
                <w:sz w:val="20"/>
                <w:szCs w:val="20"/>
              </w:rPr>
              <w:t xml:space="preserve">Major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§5.1 B1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"embed with qwen3-embedding:8b" — footnote gives URL but not the model's dimensionality, vocabulary, or training objective. These matter when comparing embedding-based retrieval to SQL retrieval.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 one sentence characterising the embedding model (e.g., 1024-dim dense encoder, trained on multilingual web text).</w:t>
            </w:r>
          </w:p>
        </w:tc>
        <w:tc>
          <w:tcPr>
            <w:tcW w:type="dxa" w:w="9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27AE60"/>
                <w:sz w:val="20"/>
                <w:szCs w:val="20"/>
              </w:rPr>
              <w:t xml:space="preserve">Minor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§5.1 B2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"Product codes are extracted from the query via pattern matching" — this is a strong assumption that privileges B2 on queries with explicit product codes. How many of the 100 queries per domain actually contain explicit product codes?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Report what fraction of queries contain explicit product codes, so the reader understands the scope of B2's advantage and its failure mode on uncoded queries.</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E67E22"/>
                <w:sz w:val="20"/>
                <w:szCs w:val="20"/>
              </w:rPr>
              <w:t xml:space="preserve">Major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§5.1 ¶last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"Because the RCP's hallucination reduction stems from architectural validation gates that operate over structured artefacts independently of the LLM, we hypothesise that gains would be preserved or amplified with stronger models" — this is a speculative claim presented in the experimental setup rather than in Discussion.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Move this sentence to §6 (Discussion) where hypotheses about future models belong. In §5.1 only describe what was done, not what might be true.</w:t>
            </w:r>
          </w:p>
        </w:tc>
        <w:tc>
          <w:tcPr>
            <w:tcW w:type="dxa" w:w="9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27AE60"/>
                <w:sz w:val="20"/>
                <w:szCs w:val="20"/>
              </w:rPr>
              <w:t xml:space="preserve">Minor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§5.1 ¶last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Temperature is set to 0 for all generation tasks. This is correctly disclosed, but the paper does not address whether Llama 3.2:8b produces deterministic output at T=0 (some local inference stacks do not guarantee this).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 one sentence: "At temperature 0, Llama 3.2:8b via Ollama produces deterministic outputs across repeated runs, as verified by re-running 10% of queries." If not verified, acknowledge this as a limitation.</w:t>
            </w:r>
          </w:p>
        </w:tc>
        <w:tc>
          <w:tcPr>
            <w:tcW w:type="dxa" w:w="9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27AE60"/>
                <w:sz w:val="20"/>
                <w:szCs w:val="20"/>
              </w:rPr>
              <w:t xml:space="preserve">Minor</w:t>
            </w:r>
          </w:p>
        </w:tc>
      </w:tr>
    </w:tbl>
    <w:p>
      <w:pPr>
        <w:pStyle w:val="Heading2"/>
        <w:spacing w:before="300" w:after="120"/>
      </w:pPr>
      <w:r>
        <w:rPr>
          <w:rFonts w:ascii="Arial" w:cs="Arial" w:eastAsia="Arial" w:hAnsi="Arial"/>
          <w:b/>
          <w:bCs/>
          <w:color w:val="2E4057"/>
          <w:sz w:val="28"/>
          <w:szCs w:val="28"/>
        </w:rPr>
        <w:t xml:space="preserve">§5.2 Quantitative Metrics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3200"/>
        <w:gridCol w:w="900"/>
      </w:tblGrid>
      <w:tr>
        <w:trPr>
          <w:tblHeader/>
        </w:trPr>
        <w:tc>
          <w:tcPr>
            <w:tcW w:type="dxa" w:w="1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Suggestion / Correction</w:t>
            </w:r>
          </w:p>
        </w:tc>
        <w:tc>
          <w:tcPr>
            <w:tcW w:type="dxa" w:w="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§5.2 intro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Five metrics are listed: (a) answer correctness, (b) citation accuracy, (c) unit fidelity, (d) hallucination rate, (e) operational cost. However, Table 6 does not report citation accuracy or unit fidelity per baseline — only answer correctness and hallucination are in the bar chart. Readers must cross-reference multiple tables.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Combine all five metrics into a single master table or explicitly direct the reader to the relevant table for each metric at the point of mention.</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E67E22"/>
                <w:sz w:val="20"/>
                <w:szCs w:val="20"/>
              </w:rPr>
              <w:t xml:space="preserve">Major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§5.2 metric (a)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"answer correctness against the annotated reference set" — the annotation process is not described. Who annotated? One engineer per domain? Multiple? Was inter-annotator agreement measured?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 a sentence in §5.1 or §5.2: "Annotations were produced by [N] engineers at each company; inter-annotator agreement was [statistic, e.g., Cohen's κ = X]." This is standard for evaluation papers.</w:t>
            </w:r>
          </w:p>
        </w:tc>
        <w:tc>
          <w:tcPr>
            <w:tcW w:type="dxa" w:w="9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Critical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§5.2 metric (d)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Hallucination rate is defined as "the fraction of responses containing at least one factual claim unsupported by retrieved evidence." This is a binary per-response measure, not a claim-level rate. A response with 10 unsupported claims counts the same as one with 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Either rename to "hallucination prevalence" and acknowledge it is binary, or add a secondary claim-level metric (e.g., mean unsupported claims per response) to quantify severity.</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E67E22"/>
                <w:sz w:val="20"/>
                <w:szCs w:val="20"/>
              </w:rPr>
              <w:t xml:space="preserve">Major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§5.2.1 ¶1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Case II corpus comprises 451 extracted tables from 54 revision-controlled aerospace PDFs; the 100-query set covers... connector families (RPT, RNT, TFR, C0-series)." — this sentence is an almost verbatim repeat of the same sentence two paragraphs later (after the McNemar discussion). Duplicate text.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Delete the second occurrence (after the McNemar paragraph). It appears to be a leftover from an earlier draft.</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E67E22"/>
                <w:sz w:val="20"/>
                <w:szCs w:val="20"/>
              </w:rPr>
              <w:t xml:space="preserve">Major</w:t>
            </w:r>
          </w:p>
        </w:tc>
      </w:tr>
    </w:tbl>
    <w:p>
      <w:pPr>
        <w:pStyle w:val="Heading2"/>
        <w:spacing w:before="300" w:after="120"/>
      </w:pPr>
      <w:r>
        <w:rPr>
          <w:rFonts w:ascii="Arial" w:cs="Arial" w:eastAsia="Arial" w:hAnsi="Arial"/>
          <w:b/>
          <w:bCs/>
          <w:color w:val="2E4057"/>
          <w:sz w:val="28"/>
          <w:szCs w:val="28"/>
        </w:rPr>
        <w:t xml:space="preserve">§5.2.1 Performance Results — Statistical Analysis</w:t>
      </w:r>
    </w:p>
    <w:p>
      <w:pPr>
        <w:spacing w:before="80" w:after="80"/>
      </w:pPr>
      <w:r>
        <w:rPr>
          <w:rFonts w:ascii="Arial" w:cs="Arial" w:eastAsia="Arial" w:hAnsi="Arial"/>
          <w:sz w:val="20"/>
          <w:szCs w:val="20"/>
        </w:rPr>
        <w:t xml:space="preserve">This sub-section requires the most careful attention. The McNemar test application is mostly correct but has inconsistencies that reviewers will flag.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3200"/>
        <w:gridCol w:w="900"/>
      </w:tblGrid>
      <w:tr>
        <w:trPr>
          <w:tblHeader/>
        </w:trPr>
        <w:tc>
          <w:tcPr>
            <w:tcW w:type="dxa" w:w="1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Suggestion / Correction</w:t>
            </w:r>
          </w:p>
        </w:tc>
        <w:tc>
          <w:tcPr>
            <w:tcW w:type="dxa" w:w="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§5.2.1 stats ¶</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Case I B2→B3 correctness: "$n = 65$ pairs" — where does n=65 come from? The query set is n=100 and no filtering criterion is described. A McNemar test on matched pairs uses ALL n=100 pairs, with the four cells of the contingency table.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Replace with n=100 and recompute χ² and p-value using the full contingency table. If n=65 arises from a subset (e.g., only discordant pairs), explicitly state: "McNemar's test uses only discordant pairs; of 100 queries, 65 differed between B2 and B3."</w:t>
            </w:r>
          </w:p>
        </w:tc>
        <w:tc>
          <w:tcPr>
            <w:tcW w:type="dxa" w:w="9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Critical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§5.2.1 stats ¶</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Case II B1→B2: "$n = 30$ pairs" — contradicts the stated 100-query set for Case II. No explanation is given for why only 30 pairs are used here.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Either use n=100 throughout, or state clearly: "For Case II significance testing we used the 30 queries that were fully annotated for all baseline outputs; annotation of the remaining 70 is ongoing." Then be explicit about this in §5.1.</w:t>
            </w:r>
          </w:p>
        </w:tc>
        <w:tc>
          <w:tcPr>
            <w:tcW w:type="dxa" w:w="9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Critical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§5.2.1 stats ¶</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Case II B2→B3: "$n = 100$ pairs" but B1→B2 uses n=30. This means the two transitions are tested on different populations, making the comparison invalid.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Use a consistent population for all pairwise tests within Case II. If the full 100 are available for B2→B3 but only 30 for B1→B2, this must be explicitly justified and the asymmetry acknowledged as a limitation.</w:t>
            </w:r>
          </w:p>
        </w:tc>
        <w:tc>
          <w:tcPr>
            <w:tcW w:type="dxa" w:w="9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Critical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§5.2.1 stats ¶</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corresponding hallucination reduction (26%→8%) is significant (χ²=6.05, p=0.014)" — the χ² value and p-value are plausible, but the paper does not report whether continuity correction (Yates) was applied. For McNemar's test with small discordant-pair counts, continuity correction is recommended.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State whether Yates' continuity correction was applied. If not, apply it; it can change significance conclusions when discordant counts are small.</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E67E22"/>
                <w:sz w:val="20"/>
                <w:szCs w:val="20"/>
              </w:rPr>
              <w:t xml:space="preserve">Major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§5.2.1 CI ¶</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Wilson confidence intervals are reported only for selected metrics and conditions (correctness and hallucination for specific baselines). Citation accuracy and unit fidelity lack confidence intervals entirely.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Either report CIs for all five metrics across all baselines, or justify why only the selected CIs are shown (e.g., "CIs are provided for the two primary metrics; full CI tables are in the supplementary material").</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E67E22"/>
                <w:sz w:val="20"/>
                <w:szCs w:val="20"/>
              </w:rPr>
              <w:t xml:space="preserve">Major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§5.2.1 Fig. 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bar chart shows only answer correctness and hallucination. Citation accuracy (which shows a counter-intuitive B1=99% &gt; B3=88% in Case I) and unit fidelity are absent.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 a second grouped bar chart or a radar chart showing all four quality metrics per baseline per domain. The citation accuracy counter-pattern is noteworthy and deserves visual prominence.</w:t>
            </w:r>
          </w:p>
        </w:tc>
        <w:tc>
          <w:tcPr>
            <w:tcW w:type="dxa" w:w="9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27AE60"/>
                <w:sz w:val="20"/>
                <w:szCs w:val="20"/>
              </w:rPr>
              <w:t xml:space="preserve">Minor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§5.2.1 ¶ on B1→B2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B1→B2 transition measures the impact of structured extraction... producing the largest correctness gain in both cases." — this is clear and well-stated.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change needed. This is the paper's clearest analytical sentence.</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980B9"/>
                <w:sz w:val="20"/>
                <w:szCs w:val="20"/>
              </w:rPr>
              <w:t xml:space="preserve">Style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§5.2.1 ¶ on B2→B3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"while the marginal correctness gain is modest, the hallucination rate is suppressed to near-zero (8% in Case I, 11% in Case II)" — 11% is not "near-zero"; this phrase overstates the Case II result.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Differentiate: "hallucination is nearly eliminated in Case I (8%) and substantially reduced in Case II (11%)".</w:t>
            </w:r>
          </w:p>
        </w:tc>
        <w:tc>
          <w:tcPr>
            <w:tcW w:type="dxa" w:w="9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27AE60"/>
                <w:sz w:val="20"/>
                <w:szCs w:val="20"/>
              </w:rPr>
              <w:t xml:space="preserve">Minor</w:t>
            </w:r>
          </w:p>
        </w:tc>
      </w:tr>
    </w:tbl>
    <w:p>
      <w:pPr>
        <w:pStyle w:val="Heading2"/>
        <w:spacing w:before="300" w:after="120"/>
      </w:pPr>
      <w:r>
        <w:rPr>
          <w:rFonts w:ascii="Arial" w:cs="Arial" w:eastAsia="Arial" w:hAnsi="Arial"/>
          <w:b/>
          <w:bCs/>
          <w:color w:val="2E4057"/>
          <w:sz w:val="28"/>
          <w:szCs w:val="28"/>
        </w:rPr>
        <w:t xml:space="preserve">§5.2.2 Operational Cost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3200"/>
        <w:gridCol w:w="900"/>
      </w:tblGrid>
      <w:tr>
        <w:trPr>
          <w:tblHeader/>
        </w:trPr>
        <w:tc>
          <w:tcPr>
            <w:tcW w:type="dxa" w:w="1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Suggestion / Correction</w:t>
            </w:r>
          </w:p>
        </w:tc>
        <w:tc>
          <w:tcPr>
            <w:tcW w:type="dxa" w:w="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§5.2.2 ¶1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Naive RAG baseline (B1) is slower in Case I (12.24s) than B3's Case II counterpart" — this sentence compares B1-CaseI latency with B3-CaseII latency, which is not a meaningful comparison. The sentence then attributes B1's speed to embedding, but the explanation is confused.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Rewrite: "B1 latency in Case I (12.24s) is dominated by embedding 1,628 product variants at query time over the full catalogue. In Case II, B1 is faster (8.65s) because the corpus is smaller and more structured."</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E67E22"/>
                <w:sz w:val="20"/>
                <w:szCs w:val="20"/>
              </w:rPr>
              <w:t xml:space="preserve">Major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§5.2.2 ¶1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 domains where correctness is a compliance or safety requirement, the additional latency of B3 is the cost of auditability." — this interpretive statement belongs in Discussion, not in the results section.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Move to §6.</w:t>
            </w:r>
          </w:p>
        </w:tc>
        <w:tc>
          <w:tcPr>
            <w:tcW w:type="dxa" w:w="9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27AE60"/>
                <w:sz w:val="20"/>
                <w:szCs w:val="20"/>
              </w:rPr>
              <w:t xml:space="preserve">Minor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§5.2.2 Table 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Avg. Function Calls = 0 for B1 and B2. This is technically accurate (they don't use the function framework) but may mislead readers into thinking B1 and B2 make no tool calls. B1 makes at least one embedding call and one LLM generation call.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 a footnote: "B1 and B2 do not use the RCP function framework; B1 makes one embedding call and one LLM generation call, B2 makes one SQL query and one LLM generation call."</w:t>
            </w:r>
          </w:p>
        </w:tc>
        <w:tc>
          <w:tcPr>
            <w:tcW w:type="dxa" w:w="9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27AE60"/>
                <w:sz w:val="20"/>
                <w:szCs w:val="20"/>
              </w:rPr>
              <w:t xml:space="preserve">Minor</w:t>
            </w:r>
          </w:p>
        </w:tc>
      </w:tr>
    </w:tbl>
    <w:p>
      <w:pPr>
        <w:pStyle w:val="Heading2"/>
        <w:spacing w:before="300" w:after="120"/>
      </w:pPr>
      <w:r>
        <w:rPr>
          <w:rFonts w:ascii="Arial" w:cs="Arial" w:eastAsia="Arial" w:hAnsi="Arial"/>
          <w:b/>
          <w:bCs/>
          <w:color w:val="2E4057"/>
          <w:sz w:val="28"/>
          <w:szCs w:val="28"/>
        </w:rPr>
        <w:t xml:space="preserve">§5.3 Error Analysis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3200"/>
        <w:gridCol w:w="900"/>
      </w:tblGrid>
      <w:tr>
        <w:trPr>
          <w:tblHeader/>
        </w:trPr>
        <w:tc>
          <w:tcPr>
            <w:tcW w:type="dxa" w:w="1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Suggestion / Correction</w:t>
            </w:r>
          </w:p>
        </w:tc>
        <w:tc>
          <w:tcPr>
            <w:tcW w:type="dxa" w:w="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§5.3 ¶1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test queries, representative of practical use scenarios, were provided by engineers at the respective companies with no involvement in framework development, preventing evaluation leakage." — good disclosure, but 'no involvement in framework development' is an informal claim that should be formalised.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 "Engineers were not shown the system or its outputs prior to submitting queries, and had no knowledge of which baseline generated any given response."</w:t>
            </w:r>
          </w:p>
        </w:tc>
        <w:tc>
          <w:tcPr>
            <w:tcW w:type="dxa" w:w="9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27AE60"/>
                <w:sz w:val="20"/>
                <w:szCs w:val="20"/>
              </w:rPr>
              <w:t xml:space="preserve">Minor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§5.3 difficulty tiers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Difficulty tiers (Easy/Medium/Hard) are defined, but: (a) no distribution is shown in the main text, only "reported in appendix tables"; (b) no performance breakdown by tier is provided (deferred to future work).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Move the tier distribution into the main text (a simple 3-row table). Readers need this to judge whether the query sets are balanced. The tier breakdown can remain future work, but the distribution should be reported now.</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E67E22"/>
                <w:sz w:val="20"/>
                <w:szCs w:val="20"/>
              </w:rPr>
              <w:t xml:space="preserve">Major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§5.3 error taxonomy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four error classes (i–iv) are well-defined. However, only classes (i) and (ii) are discussed quantitatively in the following paragraphs. Classes (iii) and (iv) are mentioned but no counts are given.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 counts: e.g., "Field-name mismatch errors accounted for X% of B2 failures in Case I, and parser errors for Y%." These numbers would significantly strengthen the diagnostic value of the taxonomy.</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E67E22"/>
                <w:sz w:val="20"/>
                <w:szCs w:val="20"/>
              </w:rPr>
              <w:t xml:space="preserve">Major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§5.3 ¶ B2→B3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"validation gates prevent the LLM from fabricating plausible but unsupported values" — this sentence conflates the mechanism (validation gates block synthesis on unsatisfied predicates) with the outcome (no fabrication). The gate does not prevent the LLM from attempting to fabricate; it prevents the fabricated answer from being returned.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Rewrite: "validation gates intercept LLM-generated responses that do not satisfy evidence predicates, returning an explicit failure rather than propagating unsupported claims."</w:t>
            </w:r>
          </w:p>
        </w:tc>
        <w:tc>
          <w:tcPr>
            <w:tcW w:type="dxa" w:w="9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27AE60"/>
                <w:sz w:val="20"/>
                <w:szCs w:val="20"/>
              </w:rPr>
              <w:t xml:space="preserve">Minor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§5.3.1 Citation Accuracy Gap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This sub-section correctly identifies that RCP lacks a citation-completeness predicate. But the claim "Naive RAG inherently propagates source references because retrieved chunks carry metadata" conflates chunk metadata with citation accuracy. A chunk can carry a page number but the LLM may not cite it correctly.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Clarify: "B1 achieves high citation accuracy (99% in Case I) because chunk metadata (page, offset) is directly visible in the retrieved context and the LLM echoes it. However, this does not imply the citation is semantically accurate — a future audit of whether B1's cited passages actually support the claimed values would be informative."</w:t>
            </w:r>
          </w:p>
        </w:tc>
        <w:tc>
          <w:tcPr>
            <w:tcW w:type="dxa" w:w="9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27AE60"/>
                <w:sz w:val="20"/>
                <w:szCs w:val="20"/>
              </w:rPr>
              <w:t xml:space="preserve">Minor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§5.3.2 Unit Fidelity Gap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"some unit values that B2 passes through unchecked would have been accepted as correct under the evaluation rubric, whereas B3 explicitly rejects them" — this is the key insight of the fidelity gap, but it is buried at the end of a long sentence.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Lead with this point: "B3's lower unit fidelity (88% vs B2's 93%) reflects conservative validation: the unit-normalisation predicate rejects ambiguous values that B2 passes through unchecked and which the evaluation rubric would otherwise accept."</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980B9"/>
                <w:sz w:val="20"/>
                <w:szCs w:val="20"/>
              </w:rPr>
              <w:t xml:space="preserve">Style</w:t>
            </w:r>
          </w:p>
        </w:tc>
      </w:tr>
    </w:tbl>
    <w:p>
      <w:pPr>
        <w:pBdr>
          <w:bottom w:val="single" w:color="CCCCCC" w:sz="4" w:space="1"/>
        </w:pBdr>
        <w:spacing w:before="160" w:after="160"/>
      </w:pPr>
    </w:p>
    <w:p>
      <w:pPr>
        <w:pStyle w:val="Heading1"/>
      </w:pPr>
      <w:r>
        <w:rPr>
          <w:rFonts w:ascii="Arial" w:cs="Arial" w:eastAsia="Arial" w:hAnsi="Arial"/>
          <w:b/>
          <w:bCs/>
          <w:color w:val="2E4057"/>
          <w:sz w:val="36"/>
          <w:szCs w:val="36"/>
        </w:rPr>
        <w:t xml:space="preserve">Section 6 — Discussion and Limitations</w:t>
      </w:r>
    </w:p>
    <w:p>
      <w:pPr>
        <w:spacing w:before="80" w:after="80"/>
      </w:pPr>
      <w:r>
        <w:rPr>
          <w:rFonts w:ascii="Arial" w:cs="Arial" w:eastAsia="Arial" w:hAnsi="Arial"/>
          <w:sz w:val="20"/>
          <w:szCs w:val="20"/>
        </w:rPr>
        <w:t xml:space="preserve">The Discussion is well-structured and appropriately scoped for a conference/journal article of this length. The main weaknesses are: (1) it repeats numbers already reported in §5 without adding analytical depth; (2) the bridge to related work in §2 is underdeveloped; and (3) several sentences in the Limitations subsection are vague.</w:t>
      </w:r>
    </w:p>
    <w:p>
      <w:pPr>
        <w:pStyle w:val="Heading2"/>
        <w:spacing w:before="300" w:after="120"/>
      </w:pPr>
      <w:r>
        <w:rPr>
          <w:rFonts w:ascii="Arial" w:cs="Arial" w:eastAsia="Arial" w:hAnsi="Arial"/>
          <w:b/>
          <w:bCs/>
          <w:color w:val="2E4057"/>
          <w:sz w:val="28"/>
          <w:szCs w:val="28"/>
        </w:rPr>
        <w:t xml:space="preserve">Opening Paragraph</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3200"/>
        <w:gridCol w:w="900"/>
      </w:tblGrid>
      <w:tr>
        <w:trPr>
          <w:tblHeader/>
        </w:trPr>
        <w:tc>
          <w:tcPr>
            <w:tcW w:type="dxa" w:w="1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Suggestion / Correction</w:t>
            </w:r>
          </w:p>
        </w:tc>
        <w:tc>
          <w:tcPr>
            <w:tcW w:type="dxa" w:w="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 ¶1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"Average latency rises from 12.24s (B1) to 13.82s (B3) in Case I, and from 8.65s to 12.84s in Case II" — these exact numbers are already in Table 7. Repeating them without new framing adds nothing.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Replace with analytical interpretation: e.g., "The additional 1–4s per query in B3 arises from validation checkpoints that persist artefacts relationally; this overhead is bounded and predictable, unlike B1's embedding cost which scales with corpus size."</w:t>
            </w:r>
          </w:p>
        </w:tc>
        <w:tc>
          <w:tcPr>
            <w:tcW w:type="dxa" w:w="9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27AE60"/>
                <w:sz w:val="20"/>
                <w:szCs w:val="20"/>
              </w:rPr>
              <w:t xml:space="preserve">Minor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 ¶1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"reflecting additional function calls, validation checkpoints, and persistence of intermediate artefacts" — this list reads like a description of §4 rather than a new insight.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Cut this parenthetical; the mechanism has already been explained in §4. Discussion should focus on implications, not re-description.</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980B9"/>
                <w:sz w:val="20"/>
                <w:szCs w:val="20"/>
              </w:rPr>
              <w:t xml:space="preserve">Style</w:t>
            </w:r>
          </w:p>
        </w:tc>
      </w:tr>
    </w:tbl>
    <w:p>
      <w:pPr>
        <w:pStyle w:val="Heading2"/>
        <w:spacing w:before="300" w:after="120"/>
      </w:pPr>
      <w:r>
        <w:rPr>
          <w:rFonts w:ascii="Arial" w:cs="Arial" w:eastAsia="Arial" w:hAnsi="Arial"/>
          <w:b/>
          <w:bCs/>
          <w:color w:val="2E4057"/>
          <w:sz w:val="28"/>
          <w:szCs w:val="28"/>
        </w:rPr>
        <w:t xml:space="preserve">Paragraph 2 — Core Analytical Claim</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3200"/>
        <w:gridCol w:w="900"/>
      </w:tblGrid>
      <w:tr>
        <w:trPr>
          <w:tblHeader/>
        </w:trPr>
        <w:tc>
          <w:tcPr>
            <w:tcW w:type="dxa" w:w="1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Suggestion / Correction</w:t>
            </w:r>
          </w:p>
        </w:tc>
        <w:tc>
          <w:tcPr>
            <w:tcW w:type="dxa" w:w="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 ¶2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RCP's verify-then-summarise behaviour is the mechanism behind this improvement: explicit failure when sufficiency conditions are unmet is preferable to silent misinformation" — strong, clear claim.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change. This is the Discussion's best sentence.</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980B9"/>
                <w:sz w:val="20"/>
                <w:szCs w:val="20"/>
              </w:rPr>
              <w:t xml:space="preserve">Style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 ¶2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"This confirms the motivation advanced by Leng et al. [2026], who argue that agentic systems require explicit validation mechanisms rather than black-box reasoning" — citation is used to validate the paper's own design choice. This is weak back-referencing; the discussion should situate the RCP's contribution relative to Leng et al. more critically.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Expand: "While Leng et al. identify explicit validation as a requirement, they do not propose a mechanism. The RCP operationalises this requirement through typed, schema-level predicates persisted as queryable records—a concrete realisation of the principle they advocate."</w:t>
            </w:r>
          </w:p>
        </w:tc>
        <w:tc>
          <w:tcPr>
            <w:tcW w:type="dxa" w:w="9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27AE60"/>
                <w:sz w:val="20"/>
                <w:szCs w:val="20"/>
              </w:rPr>
              <w:t xml:space="preserve">Minor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 ¶2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"extends the self-refinement approach of Madaan et al. [2023] from free-form language feedback to typed, schema-level predicates over structured artefacts" — this framing of RCP as an 'extension' of Self-Refine overstates the connection. Self-Refine operates via iterative LLM feedback; RCP operates via deterministic schema validation.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Replace 'extends' with 'differs from': "Unlike the self-refinement approach of Madaan et al., which relies on iterative LLM-generated language feedback, the RCP enforces typed, schema-level predicates over structured artefacts, enabling deterministic and independently auditable validation gates."</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E67E22"/>
                <w:sz w:val="20"/>
                <w:szCs w:val="20"/>
              </w:rPr>
              <w:t xml:space="preserve">Major</w:t>
            </w:r>
          </w:p>
        </w:tc>
      </w:tr>
    </w:tbl>
    <w:p>
      <w:pPr>
        <w:pStyle w:val="Heading2"/>
        <w:spacing w:before="300" w:after="120"/>
      </w:pPr>
      <w:r>
        <w:rPr>
          <w:rFonts w:ascii="Arial" w:cs="Arial" w:eastAsia="Arial" w:hAnsi="Arial"/>
          <w:b/>
          <w:bCs/>
          <w:color w:val="2E4057"/>
          <w:sz w:val="28"/>
          <w:szCs w:val="28"/>
        </w:rPr>
        <w:t xml:space="preserve">Paragraph 3 — Latency Trade-off</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3200"/>
        <w:gridCol w:w="900"/>
      </w:tblGrid>
      <w:tr>
        <w:trPr>
          <w:tblHeader/>
        </w:trPr>
        <w:tc>
          <w:tcPr>
            <w:tcW w:type="dxa" w:w="1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Suggestion / Correction</w:t>
            </w:r>
          </w:p>
        </w:tc>
        <w:tc>
          <w:tcPr>
            <w:tcW w:type="dxa" w:w="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 ¶3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 practical consequence of the RCP's relational design is that inspection, error attribution, and replay reduce to database queries rather than bespoke logging" — excellent, concrete claim that directly differentiates the RCP from standard logging frameworks.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Consider adding a concrete example: "For instance, all function invocations that failed validation for a given goal can be retrieved with a single SQL SELECT over FunctionInSession WHERE success = 0."</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980B9"/>
                <w:sz w:val="20"/>
                <w:szCs w:val="20"/>
              </w:rPr>
              <w:t xml:space="preserve">Style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 ¶3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"lowering the engineering effort associated with debugging, evaluation, and governance in production deployments" — vague. What does 'lowering' mean quantitatively?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Either quantify (e.g., "reducing the need for custom log parsers") or hedge appropriately: "potentially lowering the engineering effort..."</w:t>
            </w:r>
          </w:p>
        </w:tc>
        <w:tc>
          <w:tcPr>
            <w:tcW w:type="dxa" w:w="9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27AE60"/>
                <w:sz w:val="20"/>
                <w:szCs w:val="20"/>
              </w:rPr>
              <w:t xml:space="preserve">Minor</w:t>
            </w:r>
          </w:p>
        </w:tc>
      </w:tr>
    </w:tbl>
    <w:p>
      <w:pPr>
        <w:pStyle w:val="Heading2"/>
        <w:spacing w:before="300" w:after="120"/>
      </w:pPr>
      <w:r>
        <w:rPr>
          <w:rFonts w:ascii="Arial" w:cs="Arial" w:eastAsia="Arial" w:hAnsi="Arial"/>
          <w:b/>
          <w:bCs/>
          <w:color w:val="2E4057"/>
          <w:sz w:val="28"/>
          <w:szCs w:val="28"/>
        </w:rPr>
        <w:t xml:space="preserve">Paragraph 4 — Model Generalisability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3200"/>
        <w:gridCol w:w="900"/>
      </w:tblGrid>
      <w:tr>
        <w:trPr>
          <w:tblHeader/>
        </w:trPr>
        <w:tc>
          <w:tcPr>
            <w:tcW w:type="dxa" w:w="1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Suggestion / Correction</w:t>
            </w:r>
          </w:p>
        </w:tc>
        <w:tc>
          <w:tcPr>
            <w:tcW w:type="dxa" w:w="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 ¶4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current evaluation uses a single compact model (Llama3.2:8b). Because validation predicates operate over structured artefacts independently of the LLM, the architectural benefits are expected to hold across model families" — this is a hypothesis, not a finding. The word 'expected' is appropriate, but 'architectural benefits' is vague.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Specify which benefits: "the hallucination reduction benefit is expected to hold, because it is enforced structurally; absolute correctness rates will vary with model capability."</w:t>
            </w:r>
          </w:p>
        </w:tc>
        <w:tc>
          <w:tcPr>
            <w:tcW w:type="dxa" w:w="9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27AE60"/>
                <w:sz w:val="20"/>
                <w:szCs w:val="20"/>
              </w:rPr>
              <w:t xml:space="preserve">Minor</w:t>
            </w:r>
          </w:p>
        </w:tc>
      </w:tr>
    </w:tbl>
    <w:p>
      <w:pPr>
        <w:pStyle w:val="Heading2"/>
        <w:spacing w:before="300" w:after="120"/>
      </w:pPr>
      <w:r>
        <w:rPr>
          <w:rFonts w:ascii="Arial" w:cs="Arial" w:eastAsia="Arial" w:hAnsi="Arial"/>
          <w:b/>
          <w:bCs/>
          <w:color w:val="2E4057"/>
          <w:sz w:val="28"/>
          <w:szCs w:val="28"/>
        </w:rPr>
        <w:t xml:space="preserve">Limitations Sub-section</w:t>
      </w:r>
    </w:p>
    <w:p>
      <w:pPr>
        <w:spacing w:before="80" w:after="80"/>
      </w:pPr>
      <w:r>
        <w:rPr>
          <w:rFonts w:ascii="Arial" w:cs="Arial" w:eastAsia="Arial" w:hAnsi="Arial"/>
          <w:sz w:val="20"/>
          <w:szCs w:val="20"/>
        </w:rPr>
        <w:t xml:space="preserve">The limitations are correctly identified. Issues are with precision and depth:</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3200"/>
        <w:gridCol w:w="900"/>
      </w:tblGrid>
      <w:tr>
        <w:trPr>
          <w:tblHeader/>
        </w:trPr>
        <w:tc>
          <w:tcPr>
            <w:tcW w:type="dxa" w:w="1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Suggestion / Correction</w:t>
            </w:r>
          </w:p>
        </w:tc>
        <w:tc>
          <w:tcPr>
            <w:tcW w:type="dxa" w:w="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Limitation 1: Upstream extraction quality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RCP prevents unsupported synthesis but cannot correct malformed source data." — accurate and well-stated.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 one sentence quantifying the observed impact: e.g., "In Case I, approximately X% of parser errors in the error analysis were attributable to OCR artifacts in the Hydroscand catalogue."</w:t>
            </w:r>
          </w:p>
        </w:tc>
        <w:tc>
          <w:tcPr>
            <w:tcW w:type="dxa" w:w="9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27AE60"/>
                <w:sz w:val="20"/>
                <w:szCs w:val="20"/>
              </w:rPr>
              <w:t xml:space="preserve">Minor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Limitation 2: Predicate tuning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"Overly strict predicates increase retries and latency; overly permissive predicates risk allowing subtle applicability or revision errors to pass." — accurate but generic. How were predicates tuned in this study?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Disclose the tuning process: "In this study, predicates were manually authored by the domain expert for each case study, with no automated tuning. This is itself a limitation that future work should address."</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E67E22"/>
                <w:sz w:val="20"/>
                <w:szCs w:val="20"/>
              </w:rPr>
              <w:t xml:space="preserve">Major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Limitation 3: Domain scope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domain-agnostic claim pertains to the core orchestration architecture; strategy and function libraries require domain-specific authoring and do not transfer automatically across document genres." — this is an important admission but is stated too softly.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Strengthen: "The domain-agnostic architecture claim must be interpreted carefully: while the six-stage control loop and RCP schema transfer without modification, each new domain requires non-trivial authoring of strategy templates, function signatures, and validation predicates. Estimating this authoring effort is an open research question."</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E67E22"/>
                <w:sz w:val="20"/>
                <w:szCs w:val="20"/>
              </w:rPr>
              <w:t xml:space="preserve">Major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Limitation 4: Extensibility overhead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"Emerging skill-based capability abstractions [agentskills2024] that define modular, discoverable capability manifests could reduce this friction" — this citation appears only in the limitations and related work sections but is never evaluated. It reads as speculative future work dressed as a finding.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Either cite it only in Related Work with a clear "out of scope for this paper" note, or remove it from the Limitations section where it adds noise.</w:t>
            </w:r>
          </w:p>
        </w:tc>
        <w:tc>
          <w:tcPr>
            <w:tcW w:type="dxa" w:w="9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27AE60"/>
                <w:sz w:val="20"/>
                <w:szCs w:val="20"/>
              </w:rPr>
              <w:t xml:space="preserve">Minor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Limitation 5: Cross-session learning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framework does not adapt strategy selection or function parameters based on historical execution outcomes; each session starts from a clean state." — well stated.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 a brief sentence on what form cross-session learning might take: e.g., "A Bayesian success-rate prior per strategy template, updated after each session, could bias selection toward historically successful plans for structurally similar queries."</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980B9"/>
                <w:sz w:val="20"/>
                <w:szCs w:val="20"/>
              </w:rPr>
              <w:t xml:space="preserve">Style</w:t>
            </w:r>
          </w:p>
        </w:tc>
      </w:tr>
    </w:tbl>
    <w:p>
      <w:pPr>
        <w:pBdr>
          <w:bottom w:val="single" w:color="CCCCCC" w:sz="4" w:space="1"/>
        </w:pBdr>
        <w:spacing w:before="160" w:after="160"/>
      </w:pPr>
    </w:p>
    <w:p>
      <w:pPr>
        <w:pStyle w:val="Heading1"/>
      </w:pPr>
      <w:r>
        <w:rPr>
          <w:rFonts w:ascii="Arial" w:cs="Arial" w:eastAsia="Arial" w:hAnsi="Arial"/>
          <w:b/>
          <w:bCs/>
          <w:color w:val="2E4057"/>
          <w:sz w:val="36"/>
          <w:szCs w:val="36"/>
        </w:rPr>
        <w:t xml:space="preserve">Section 7 — Conclusions and Future Work</w:t>
      </w:r>
    </w:p>
    <w:p>
      <w:pPr>
        <w:spacing w:before="80" w:after="80"/>
      </w:pPr>
      <w:r>
        <w:rPr>
          <w:rFonts w:ascii="Arial" w:cs="Arial" w:eastAsia="Arial" w:hAnsi="Arial"/>
          <w:sz w:val="20"/>
          <w:szCs w:val="20"/>
        </w:rPr>
        <w:t xml:space="preserve">The Conclusions section is concise and well-aligned with the paper's contributions. The main issues are minor over-claims and one structural redundancy with the abstract.</w:t>
      </w:r>
    </w:p>
    <w:p>
      <w:pPr>
        <w:pStyle w:val="Heading2"/>
        <w:spacing w:before="300" w:after="120"/>
      </w:pPr>
      <w:r>
        <w:rPr>
          <w:rFonts w:ascii="Arial" w:cs="Arial" w:eastAsia="Arial" w:hAnsi="Arial"/>
          <w:b/>
          <w:bCs/>
          <w:color w:val="2E4057"/>
          <w:sz w:val="28"/>
          <w:szCs w:val="28"/>
        </w:rPr>
        <w:t xml:space="preserve">Opening Paragraph</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3200"/>
        <w:gridCol w:w="900"/>
      </w:tblGrid>
      <w:tr>
        <w:trPr>
          <w:tblHeader/>
        </w:trPr>
        <w:tc>
          <w:tcPr>
            <w:tcW w:type="dxa" w:w="1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Suggestion / Correction</w:t>
            </w:r>
          </w:p>
        </w:tc>
        <w:tc>
          <w:tcPr>
            <w:tcW w:type="dxa" w:w="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 ¶1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"enforcing a six-stage verify-then-summarise control loop over engineering document retrieval" — 'verify-then-summarise' is used here as though it is a defined term from the literature, but it is the paper's own coinage. This is fine, but it should be consistently italicised or placed in quotes throughout the paper.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Apply consistent typographic treatment: \textit{verify-then-summarise} in LaTeX, first use in §1 or §4, and same in §7.</w:t>
            </w:r>
          </w:p>
        </w:tc>
        <w:tc>
          <w:tcPr>
            <w:tcW w:type="dxa" w:w="9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27AE60"/>
                <w:sz w:val="20"/>
                <w:szCs w:val="20"/>
              </w:rPr>
              <w:t xml:space="preserve">Minor</w:t>
            </w:r>
          </w:p>
        </w:tc>
      </w:tr>
    </w:tbl>
    <w:p>
      <w:pPr>
        <w:pStyle w:val="Heading2"/>
        <w:spacing w:before="300" w:after="120"/>
      </w:pPr>
      <w:r>
        <w:rPr>
          <w:rFonts w:ascii="Arial" w:cs="Arial" w:eastAsia="Arial" w:hAnsi="Arial"/>
          <w:b/>
          <w:bCs/>
          <w:color w:val="2E4057"/>
          <w:sz w:val="28"/>
          <w:szCs w:val="28"/>
        </w:rPr>
        <w:t xml:space="preserve">Results Summary Paragraph</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3200"/>
        <w:gridCol w:w="900"/>
      </w:tblGrid>
      <w:tr>
        <w:trPr>
          <w:tblHeader/>
        </w:trPr>
        <w:tc>
          <w:tcPr>
            <w:tcW w:type="dxa" w:w="1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Suggestion / Correction</w:t>
            </w:r>
          </w:p>
        </w:tc>
        <w:tc>
          <w:tcPr>
            <w:tcW w:type="dxa" w:w="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 ¶2 sentence 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"Evaluation across 200 annotated queries spanning two industrial domains..." — this sentence is nearly identical to the abstract's corresponding sentence. In a journal article, the Conclusions should not simply repeat the abstract.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Rephrase to add a brief interpretive frame absent from the abstract: e.g., "Across 200 annotated queries in two industrial domains, the RCP demonstrated that structured persistence and multi-level validation — rather than model scale — are the primary drivers of hallucination reduction."</w:t>
            </w:r>
          </w:p>
        </w:tc>
        <w:tc>
          <w:tcPr>
            <w:tcW w:type="dxa" w:w="9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27AE60"/>
                <w:sz w:val="20"/>
                <w:szCs w:val="20"/>
              </w:rPr>
              <w:t xml:space="preserve">Minor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 ¶2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"while hallucination decreased from 55% to 8% and from 20% to 11% respectively" — '11%' is stated correctly but the B2 baseline (12%) is not distinguished from B3 (11%) in the conclusions, making the B2→B3 contribution invisible. The conclusions should attribute gains to the right components.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 "The structured extraction step (B2) accounts for most of the hallucination reduction in Case II (20%→12%), while the validation layer (B3) provides additional but modest further reduction (12%→11%), confirming that corpus organisation is the dominant factor in this domain."</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E67E22"/>
                <w:sz w:val="20"/>
                <w:szCs w:val="20"/>
              </w:rPr>
              <w:t xml:space="preserve">Major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 ¶2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"even with a compact 8B-parameter language model" — this appears in both the abstract and conclusions. It is an important point, but using it twice with the same framing reads as padding.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 the conclusions, reframe to focus on the architectural implication: "The results demonstrate that architectural constraints—not model scale—determine reliability in engineering retrieval, suggesting that the framework is viable for resource-constrained industrial deployments."</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980B9"/>
                <w:sz w:val="20"/>
                <w:szCs w:val="20"/>
              </w:rPr>
              <w:t xml:space="preserve">Style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 ¶2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"transforming potential hallucinations into explicit, auditable failures" — this is the paper's best phrase and should be retained.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change. Keep as is.</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980B9"/>
                <w:sz w:val="20"/>
                <w:szCs w:val="20"/>
              </w:rPr>
              <w:t xml:space="preserve">Style</w:t>
            </w:r>
          </w:p>
        </w:tc>
      </w:tr>
    </w:tbl>
    <w:p>
      <w:pPr>
        <w:pStyle w:val="Heading2"/>
        <w:spacing w:before="300" w:after="120"/>
      </w:pPr>
      <w:r>
        <w:rPr>
          <w:rFonts w:ascii="Arial" w:cs="Arial" w:eastAsia="Arial" w:hAnsi="Arial"/>
          <w:b/>
          <w:bCs/>
          <w:color w:val="2E4057"/>
          <w:sz w:val="28"/>
          <w:szCs w:val="28"/>
        </w:rPr>
        <w:t xml:space="preserve">Future Work Enumeration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3200"/>
        <w:gridCol w:w="900"/>
      </w:tblGrid>
      <w:tr>
        <w:trPr>
          <w:tblHeader/>
        </w:trPr>
        <w:tc>
          <w:tcPr>
            <w:tcW w:type="dxa" w:w="1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Suggestion / Correction</w:t>
            </w:r>
          </w:p>
        </w:tc>
        <w:tc>
          <w:tcPr>
            <w:tcW w:type="dxa" w:w="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 future work (i)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"expanding validation toward cross-source consistency checking, including conflict detection and supersession-aware reconciliation across revisions" — this is the most technically novel future direction and deserves a sentence of elaboration.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 "Conflict detection would require a new ValidateConsistency predicate that checks whether the same attribute value, retrieved from two different document revisions, agrees within a tolerance; discrepancies would surface as structured resolution failures."</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980B9"/>
                <w:sz w:val="20"/>
                <w:szCs w:val="20"/>
              </w:rPr>
              <w:t xml:space="preserve">Style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 future work (ii)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"improving multimodal grounding for tables and figures through tighter cell- and region-level anchoring" — vague. What specific technique is envisioned?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Specify: e.g., "...through integration of table-transformer-based cell detection and figure-grounding models that emit bounding-box provenance anchors."</w:t>
            </w:r>
          </w:p>
        </w:tc>
        <w:tc>
          <w:tcPr>
            <w:tcW w:type="dxa" w:w="9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27AE60"/>
                <w:sz w:val="20"/>
                <w:szCs w:val="20"/>
              </w:rPr>
              <w:t xml:space="preserve">Minor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 future work (iii)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"incorporating cross-session learning to adapt strategy selection based on historical execution outcomes" — overlaps almost exactly with Limitation 5 in §6.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Merge the future work item with its corresponding limitation discussion in §6, and add a single sentence in §7 pointing back: "As noted in §6, cross-session learning via execution history is a planned extension."</w:t>
            </w:r>
          </w:p>
        </w:tc>
        <w:tc>
          <w:tcPr>
            <w:tcW w:type="dxa" w:w="9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27AE60"/>
                <w:sz w:val="20"/>
                <w:szCs w:val="20"/>
              </w:rPr>
              <w:t xml:space="preserve">Minor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 future work (iv)</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"developing evaluation suites that score provenance completeness, revision fidelity, and replay determinism alongside answer correctness" — strong future direction, well-articulated.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change.</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980B9"/>
                <w:sz w:val="20"/>
                <w:szCs w:val="20"/>
              </w:rPr>
              <w:t xml:space="preserve">Style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 closing sentence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results indicate that treating orchestration as structured, persistent data provides a practical and extensible foundation for deploying reliable generative-AI systems in engineering knowledge management." — 'indicate' is weak for a conclusion. The results more than indicate — they demonstrate.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Replace 'indicate' with 'demonstrate' or 'show'.</w:t>
            </w:r>
          </w:p>
        </w:tc>
        <w:tc>
          <w:tcPr>
            <w:tcW w:type="dxa" w:w="9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27AE60"/>
                <w:sz w:val="20"/>
                <w:szCs w:val="20"/>
              </w:rPr>
              <w:t xml:space="preserve">Minor</w:t>
            </w:r>
          </w:p>
        </w:tc>
      </w:tr>
    </w:tbl>
    <w:p>
      <w:pPr>
        <w:pBdr>
          <w:bottom w:val="single" w:color="CCCCCC" w:sz="4" w:space="1"/>
        </w:pBdr>
        <w:spacing w:before="160" w:after="160"/>
      </w:pPr>
    </w:p>
    <w:p>
      <w:pPr>
        <w:pStyle w:val="Heading1"/>
      </w:pPr>
      <w:r>
        <w:rPr>
          <w:rFonts w:ascii="Arial" w:cs="Arial" w:eastAsia="Arial" w:hAnsi="Arial"/>
          <w:b/>
          <w:bCs/>
          <w:color w:val="2E4057"/>
          <w:sz w:val="36"/>
          <w:szCs w:val="36"/>
        </w:rPr>
        <w:t xml:space="preserve">Full-Paper Cross-Cutting Issues</w:t>
      </w:r>
    </w:p>
    <w:p>
      <w:pPr>
        <w:spacing w:before="80" w:after="80"/>
      </w:pPr>
      <w:r>
        <w:rPr>
          <w:rFonts w:ascii="Arial" w:cs="Arial" w:eastAsia="Arial" w:hAnsi="Arial"/>
          <w:sz w:val="20"/>
          <w:szCs w:val="20"/>
        </w:rPr>
        <w:t xml:space="preserve">The following issues affect multiple sections and should be addressed holistically.</w:t>
      </w:r>
    </w:p>
    <w:p>
      <w:pPr>
        <w:pStyle w:val="Heading2"/>
        <w:spacing w:before="300" w:after="120"/>
      </w:pPr>
      <w:r>
        <w:rPr>
          <w:rFonts w:ascii="Arial" w:cs="Arial" w:eastAsia="Arial" w:hAnsi="Arial"/>
          <w:b/>
          <w:bCs/>
          <w:color w:val="2E4057"/>
          <w:sz w:val="28"/>
          <w:szCs w:val="28"/>
        </w:rPr>
        <w:t xml:space="preserve">A. Consistency of n across Statistical Tests</w:t>
      </w:r>
    </w:p>
    <w:p>
      <w:pPr>
        <w:spacing w:before="80" w:after="80"/>
      </w:pPr>
      <w:r>
        <w:rPr>
          <w:rFonts w:ascii="Arial" w:cs="Arial" w:eastAsia="Arial" w:hAnsi="Arial"/>
          <w:sz w:val="20"/>
          <w:szCs w:val="20"/>
        </w:rPr>
        <w:t xml:space="preserve">CRITICAL — The most significant structural problem in the paper. Three different sample sizes are used for statistical tests without explanation:</w:t>
      </w:r>
    </w:p>
    <w:p>
      <w:pPr>
        <w:pStyle w:val="ListParagraph"/>
        <w:numPr>
          <w:ilvl w:val="0"/>
          <w:numId w:val="2"/>
        </w:numPr>
        <w:spacing w:before="40" w:after="40"/>
      </w:pPr>
      <w:r>
        <w:rPr>
          <w:rFonts w:ascii="Arial" w:cs="Arial" w:eastAsia="Arial" w:hAnsi="Arial"/>
          <w:sz w:val="20"/>
          <w:szCs w:val="20"/>
        </w:rPr>
        <w:t xml:space="preserve">Case I: n=100 for B1→B2 and B1→B3; n=65 for B2→B3</w:t>
      </w:r>
    </w:p>
    <w:p>
      <w:pPr>
        <w:pStyle w:val="ListParagraph"/>
        <w:numPr>
          <w:ilvl w:val="0"/>
          <w:numId w:val="2"/>
        </w:numPr>
        <w:spacing w:before="40" w:after="40"/>
      </w:pPr>
      <w:r>
        <w:rPr>
          <w:rFonts w:ascii="Arial" w:cs="Arial" w:eastAsia="Arial" w:hAnsi="Arial"/>
          <w:sz w:val="20"/>
          <w:szCs w:val="20"/>
        </w:rPr>
        <w:t xml:space="preserve">Case II: n=30 for B1→B2 and B1→B3; n=100 for B2→B3</w:t>
      </w:r>
    </w:p>
    <w:p>
      <w:pPr>
        <w:spacing w:before="80" w:after="80"/>
      </w:pPr>
      <w:r>
        <w:rPr>
          <w:rFonts w:ascii="Arial" w:cs="Arial" w:eastAsia="Arial" w:hAnsi="Arial"/>
          <w:sz w:val="20"/>
          <w:szCs w:val="20"/>
        </w:rPr>
        <w:t xml:space="preserve">This inconsistency is likely to be flagged as a fatal flaw by reviewers. The paper must use consistent n values within each case study, or provide a clear methodological justification for using different n values (e.g., annotation cost, stratified sampling).</w:t>
      </w:r>
    </w:p>
    <w:p>
      <w:pPr>
        <w:pStyle w:val="Heading2"/>
        <w:spacing w:before="300" w:after="120"/>
      </w:pPr>
      <w:r>
        <w:rPr>
          <w:rFonts w:ascii="Arial" w:cs="Arial" w:eastAsia="Arial" w:hAnsi="Arial"/>
          <w:b/>
          <w:bCs/>
          <w:color w:val="2E4057"/>
          <w:sz w:val="28"/>
          <w:szCs w:val="28"/>
        </w:rPr>
        <w:t xml:space="preserve">B. Missing Inter-Annotator Agreement</w:t>
      </w:r>
    </w:p>
    <w:p>
      <w:pPr>
        <w:spacing w:before="80" w:after="80"/>
      </w:pPr>
      <w:r>
        <w:rPr>
          <w:rFonts w:ascii="Arial" w:cs="Arial" w:eastAsia="Arial" w:hAnsi="Arial"/>
          <w:sz w:val="20"/>
          <w:szCs w:val="20"/>
        </w:rPr>
        <w:t xml:space="preserve">The paper relies on human-annotated ground truth but does not report how ground truth was established or whether multiple annotators agreed. For a paper whose central claim is auditability and traceability, this gap in the evaluation methodology is a significant weakness. Minimum required: state the number of annotators per domain and the agreement metric.</w:t>
      </w:r>
    </w:p>
    <w:p>
      <w:pPr>
        <w:pStyle w:val="Heading2"/>
        <w:spacing w:before="300" w:after="120"/>
      </w:pPr>
      <w:r>
        <w:rPr>
          <w:rFonts w:ascii="Arial" w:cs="Arial" w:eastAsia="Arial" w:hAnsi="Arial"/>
          <w:b/>
          <w:bCs/>
          <w:color w:val="2E4057"/>
          <w:sz w:val="28"/>
          <w:szCs w:val="28"/>
        </w:rPr>
        <w:t xml:space="preserve">C. Redundant Content Between Sections</w:t>
      </w:r>
    </w:p>
    <w:p>
      <w:pPr>
        <w:spacing w:before="80" w:after="80"/>
      </w:pPr>
      <w:r>
        <w:rPr>
          <w:rFonts w:ascii="Arial" w:cs="Arial" w:eastAsia="Arial" w:hAnsi="Arial"/>
          <w:sz w:val="20"/>
          <w:szCs w:val="20"/>
        </w:rPr>
        <w:t xml:space="preserve">The following content appears more than once and should be consolidated:</w:t>
      </w:r>
    </w:p>
    <w:p>
      <w:pPr>
        <w:pStyle w:val="ListParagraph"/>
        <w:numPr>
          <w:ilvl w:val="0"/>
          <w:numId w:val="2"/>
        </w:numPr>
        <w:spacing w:before="40" w:after="40"/>
      </w:pPr>
      <w:r>
        <w:rPr>
          <w:rFonts w:ascii="Arial" w:cs="Arial" w:eastAsia="Arial" w:hAnsi="Arial"/>
          <w:sz w:val="20"/>
          <w:szCs w:val="20"/>
        </w:rPr>
        <w:t xml:space="preserve">The Case II corpus description (451 tables, 54 PDFs, connector families) appears verbatim in §5.1 and again mid-way through §5.2.1 after the McNemar paragraph. Delete the second occurrence.</w:t>
      </w:r>
    </w:p>
    <w:p>
      <w:pPr>
        <w:pStyle w:val="ListParagraph"/>
        <w:numPr>
          <w:ilvl w:val="0"/>
          <w:numId w:val="2"/>
        </w:numPr>
        <w:spacing w:before="40" w:after="40"/>
      </w:pPr>
      <w:r>
        <w:rPr>
          <w:rFonts w:ascii="Arial" w:cs="Arial" w:eastAsia="Arial" w:hAnsi="Arial"/>
          <w:sz w:val="20"/>
          <w:szCs w:val="20"/>
        </w:rPr>
        <w:t xml:space="preserve">Latency numbers (12.24s, 8.65s, etc.) appear in both Table 7 and §6 ¶1 without added analytical value. The §6 mention should be reframed analytically or removed.</w:t>
      </w:r>
    </w:p>
    <w:p>
      <w:pPr>
        <w:pStyle w:val="ListParagraph"/>
        <w:numPr>
          <w:ilvl w:val="0"/>
          <w:numId w:val="2"/>
        </w:numPr>
        <w:spacing w:before="40" w:after="40"/>
      </w:pPr>
      <w:r>
        <w:rPr>
          <w:rFonts w:ascii="Arial" w:cs="Arial" w:eastAsia="Arial" w:hAnsi="Arial"/>
          <w:sz w:val="20"/>
          <w:szCs w:val="20"/>
        </w:rPr>
        <w:t xml:space="preserve">The phrase 'even with a compact 8B-parameter language model' appears in both the abstract and §7. One instance is sufficient.</w:t>
      </w:r>
    </w:p>
    <w:p>
      <w:pPr>
        <w:pStyle w:val="Heading2"/>
        <w:spacing w:before="300" w:after="120"/>
      </w:pPr>
      <w:r>
        <w:rPr>
          <w:rFonts w:ascii="Arial" w:cs="Arial" w:eastAsia="Arial" w:hAnsi="Arial"/>
          <w:b/>
          <w:bCs/>
          <w:color w:val="2E4057"/>
          <w:sz w:val="28"/>
          <w:szCs w:val="28"/>
        </w:rPr>
        <w:t xml:space="preserve">D. Abstract–Body Alignment</w:t>
      </w:r>
    </w:p>
    <w:p>
      <w:pPr>
        <w:spacing w:before="80" w:after="80"/>
      </w:pPr>
      <w:r>
        <w:rPr>
          <w:rFonts w:ascii="Arial" w:cs="Arial" w:eastAsia="Arial" w:hAnsi="Arial"/>
          <w:sz w:val="20"/>
          <w:szCs w:val="20"/>
        </w:rPr>
        <w:t xml:space="preserve">The abstract states "hallucination decreases from 55% to 8%... from 40% to 81% correctness with hallucination reduced from 20% to 11%". The body confirms these numbers. However, the abstract does not mention the intermediate B2 baseline, which actually accounts for most of the gain. Reviewers may perceive this omission as cherry-picking the end-to-end improvement.</w:t>
      </w:r>
    </w:p>
    <w:p>
      <w:pPr>
        <w:spacing w:before="80" w:after="80"/>
      </w:pPr>
      <w:r>
        <w:rPr>
          <w:rFonts w:ascii="Arial" w:cs="Arial" w:eastAsia="Arial" w:hAnsi="Arial"/>
          <w:sz w:val="20"/>
          <w:szCs w:val="20"/>
        </w:rPr>
        <w:t xml:space="preserve">Recommendation: add one sentence in the abstract: "An intermediate SQL-backed baseline accounts for most correctness gains; the RCP's multi-step validation layer primarily eliminates hallucination."</w:t>
      </w:r>
    </w:p>
    <w:p>
      <w:pPr>
        <w:pStyle w:val="Heading2"/>
        <w:spacing w:before="300" w:after="120"/>
      </w:pPr>
      <w:r>
        <w:rPr>
          <w:rFonts w:ascii="Arial" w:cs="Arial" w:eastAsia="Arial" w:hAnsi="Arial"/>
          <w:b/>
          <w:bCs/>
          <w:color w:val="2E4057"/>
          <w:sz w:val="28"/>
          <w:szCs w:val="28"/>
        </w:rPr>
        <w:t xml:space="preserve">E. Keywords</w:t>
      </w:r>
    </w:p>
    <w:p>
      <w:pPr>
        <w:spacing w:before="80" w:after="80"/>
      </w:pPr>
      <w:r>
        <w:rPr>
          <w:rFonts w:ascii="Arial" w:cs="Arial" w:eastAsia="Arial" w:hAnsi="Arial"/>
          <w:sz w:val="20"/>
          <w:szCs w:val="20"/>
        </w:rPr>
        <w:t xml:space="preserve">The keyword list contains a formatting inconsistency: two entries use semicolons as separators and one uses a comma: "Multi-Agent Systems, Knowledge Extraction" (comma) while others use semicolons. Standardise to semicolons throughout.</w:t>
      </w:r>
    </w:p>
    <w:p>
      <w:pPr>
        <w:spacing w:before="80" w:after="80"/>
      </w:pPr>
      <w:r>
        <w:rPr>
          <w:rFonts w:ascii="Arial" w:cs="Arial" w:eastAsia="Arial" w:hAnsi="Arial"/>
          <w:sz w:val="20"/>
          <w:szCs w:val="20"/>
        </w:rPr>
        <w:t xml:space="preserve">Additionally, consider adding 'Provenance Tracking' and 'Structured Validation' as keywords — these are the paper's most differentiated concepts and will improve discoverability.</w:t>
      </w:r>
    </w:p>
    <w:p>
      <w:pPr>
        <w:pStyle w:val="Heading2"/>
        <w:spacing w:before="300" w:after="120"/>
      </w:pPr>
      <w:r>
        <w:rPr>
          <w:rFonts w:ascii="Arial" w:cs="Arial" w:eastAsia="Arial" w:hAnsi="Arial"/>
          <w:b/>
          <w:bCs/>
          <w:color w:val="2E4057"/>
          <w:sz w:val="28"/>
          <w:szCs w:val="28"/>
        </w:rPr>
        <w:t xml:space="preserve">F. LaTeX-Specific Issues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3200"/>
        <w:gridCol w:w="900"/>
      </w:tblGrid>
      <w:tr>
        <w:trPr>
          <w:tblHeader/>
        </w:trPr>
        <w:tc>
          <w:tcPr>
            <w:tcW w:type="dxa" w:w="1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Suggestion / Correction</w:t>
            </w:r>
          </w:p>
        </w:tc>
        <w:tc>
          <w:tcPr>
            <w:tcW w:type="dxa" w:w="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Abstract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commented-out abstract (lines 74–78) is still present in the source. It contains slightly different statistics than the active abstract.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Delete the commented-out abstract block entirely to avoid confusion during revision.</w:t>
            </w:r>
          </w:p>
        </w:tc>
        <w:tc>
          <w:tcPr>
            <w:tcW w:type="dxa" w:w="9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27AE60"/>
                <w:sz w:val="20"/>
                <w:szCs w:val="20"/>
              </w:rPr>
              <w:t xml:space="preserve">Minor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Table 6 placement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Table 6 (performance comparison) uses [h] placement which may cause it to float away from its discussion. The discussion refers to it immediately.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Change to [ht] or [!htbp] for more reliable placement near the text.</w:t>
            </w:r>
          </w:p>
        </w:tc>
        <w:tc>
          <w:tcPr>
            <w:tcW w:type="dxa" w:w="9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27AE60"/>
                <w:sz w:val="20"/>
                <w:szCs w:val="20"/>
              </w:rPr>
              <w:t xml:space="preserve">Minor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Fig. 3 caption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consistent B1 &lt; B2 &lt; B3 progression" — in LaTeX, the &lt; symbol in text mode should be typeset as $&lt;$ or \textless{} to avoid potential issues in some document classes.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Replace with $&lt;$ inside math mode: "The consistent $B_1 &lt; B_2 &lt; B_3$ progression".</w:t>
            </w:r>
          </w:p>
        </w:tc>
        <w:tc>
          <w:tcPr>
            <w:tcW w:type="dxa" w:w="9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27AE60"/>
                <w:sz w:val="20"/>
                <w:szCs w:val="20"/>
              </w:rPr>
              <w:t xml:space="preserve">Minor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Keywords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"Multi-Agent Systems, Knowledge Extraction; Retrieval-Augmented Generation" — inconsistent delimiter (comma vs semicolon) within the keyword list.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Replace comma with semicolon: "Multi-Agent Systems; Knowledge Extraction; Retrieval-Augmented Generation".</w:t>
            </w:r>
          </w:p>
        </w:tc>
        <w:tc>
          <w:tcPr>
            <w:tcW w:type="dxa" w:w="9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27AE60"/>
                <w:sz w:val="20"/>
                <w:szCs w:val="20"/>
              </w:rPr>
              <w:t xml:space="preserve">Minor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 Table 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B1 Citation Accuracy in Case I is 99% while B3 is 88%. This counter-intuitive result (Naive RAG outperforming RCP on citation) is briefly explained in §5.3.1 but is visually prominent in the table and likely to confuse readers on first encounter.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 a \dag footnote to Table 6: "\dag Citation accuracy for B1 reflects chunk metadata propagation rather than semantic citation correctness; see §5.3.1."</w:t>
            </w:r>
          </w:p>
        </w:tc>
        <w:tc>
          <w:tcPr>
            <w:tcW w:type="dxa" w:w="9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27AE60"/>
                <w:sz w:val="20"/>
                <w:szCs w:val="20"/>
              </w:rPr>
              <w:t xml:space="preserve">Minor</w:t>
            </w:r>
          </w:p>
        </w:tc>
      </w:tr>
    </w:tbl>
    <w:p>
      <w:pPr>
        <w:pBdr>
          <w:bottom w:val="single" w:color="CCCCCC" w:sz="4" w:space="1"/>
        </w:pBdr>
        <w:spacing w:before="160" w:after="160"/>
      </w:pPr>
    </w:p>
    <w:p>
      <w:pPr>
        <w:pStyle w:val="Heading1"/>
      </w:pPr>
      <w:r>
        <w:rPr>
          <w:rFonts w:ascii="Arial" w:cs="Arial" w:eastAsia="Arial" w:hAnsi="Arial"/>
          <w:b/>
          <w:bCs/>
          <w:color w:val="2E4057"/>
          <w:sz w:val="36"/>
          <w:szCs w:val="36"/>
        </w:rPr>
        <w:t xml:space="preserve">Priority Action List</w:t>
      </w:r>
    </w:p>
    <w:p>
      <w:pPr>
        <w:spacing w:before="80" w:after="80"/>
      </w:pPr>
      <w:r>
        <w:rPr>
          <w:rFonts w:ascii="Arial" w:cs="Arial" w:eastAsia="Arial" w:hAnsi="Arial"/>
          <w:sz w:val="20"/>
          <w:szCs w:val="20"/>
        </w:rPr>
        <w:t xml:space="preserve">Address items in this order before re-submission:</w:t>
      </w:r>
    </w:p>
    <w:p>
      <w:pPr>
        <w:pStyle w:val="Heading3"/>
        <w:spacing w:before="200" w:after="80"/>
      </w:pPr>
      <w:r>
        <w:rPr>
          <w:rFonts w:ascii="Arial" w:cs="Arial" w:eastAsia="Arial" w:hAnsi="Arial"/>
          <w:b/>
          <w:bCs/>
          <w:color w:val="1A5276"/>
          <w:sz w:val="24"/>
          <w:szCs w:val="24"/>
        </w:rPr>
        <w:t xml:space="preserve">Critical (must fix before submission)</w:t>
      </w:r>
    </w:p>
    <w:p>
      <w:pPr>
        <w:pStyle w:val="ListParagraph"/>
        <w:numPr>
          <w:ilvl w:val="0"/>
          <w:numId w:val="2"/>
        </w:numPr>
        <w:spacing w:before="40" w:after="40"/>
      </w:pPr>
      <w:r>
        <w:rPr>
          <w:rFonts w:ascii="Arial" w:cs="Arial" w:eastAsia="Arial" w:hAnsi="Arial"/>
          <w:sz w:val="20"/>
          <w:szCs w:val="20"/>
        </w:rPr>
        <w:t xml:space="preserve">Fix the n inconsistency in McNemar tests: n=65 in Case I B2→B3 and n=30 in Case II B1→B2 must be explained or corrected.</w:t>
      </w:r>
    </w:p>
    <w:p>
      <w:pPr>
        <w:pStyle w:val="ListParagraph"/>
        <w:numPr>
          <w:ilvl w:val="0"/>
          <w:numId w:val="2"/>
        </w:numPr>
        <w:spacing w:before="40" w:after="40"/>
      </w:pPr>
      <w:r>
        <w:rPr>
          <w:rFonts w:ascii="Arial" w:cs="Arial" w:eastAsia="Arial" w:hAnsi="Arial"/>
          <w:sz w:val="20"/>
          <w:szCs w:val="20"/>
        </w:rPr>
        <w:t xml:space="preserve">Add inter-annotator agreement statistics for the ground-truth annotation process.</w:t>
      </w:r>
    </w:p>
    <w:p>
      <w:pPr>
        <w:pStyle w:val="ListParagraph"/>
        <w:numPr>
          <w:ilvl w:val="0"/>
          <w:numId w:val="2"/>
        </w:numPr>
        <w:spacing w:before="40" w:after="40"/>
      </w:pPr>
      <w:r>
        <w:rPr>
          <w:rFonts w:ascii="Arial" w:cs="Arial" w:eastAsia="Arial" w:hAnsi="Arial"/>
          <w:sz w:val="20"/>
          <w:szCs w:val="20"/>
        </w:rPr>
        <w:t xml:space="preserve">Clarify the annotation protocol (who annotated, how many annotators, what instructions were given).</w:t>
      </w:r>
    </w:p>
    <w:p>
      <w:pPr>
        <w:pStyle w:val="Heading3"/>
        <w:spacing w:before="200" w:after="80"/>
      </w:pPr>
      <w:r>
        <w:rPr>
          <w:rFonts w:ascii="Arial" w:cs="Arial" w:eastAsia="Arial" w:hAnsi="Arial"/>
          <w:b/>
          <w:bCs/>
          <w:color w:val="1A5276"/>
          <w:sz w:val="24"/>
          <w:szCs w:val="24"/>
        </w:rPr>
        <w:t xml:space="preserve">Major (strongly recommended)</w:t>
      </w:r>
    </w:p>
    <w:p>
      <w:pPr>
        <w:pStyle w:val="ListParagraph"/>
        <w:numPr>
          <w:ilvl w:val="0"/>
          <w:numId w:val="2"/>
        </w:numPr>
        <w:spacing w:before="40" w:after="40"/>
      </w:pPr>
      <w:r>
        <w:rPr>
          <w:rFonts w:ascii="Arial" w:cs="Arial" w:eastAsia="Arial" w:hAnsi="Arial"/>
          <w:sz w:val="20"/>
          <w:szCs w:val="20"/>
        </w:rPr>
        <w:t xml:space="preserve">Delete duplicate Case II corpus description (the paragraph after the McNemar block in §5.2.1).</w:t>
      </w:r>
    </w:p>
    <w:p>
      <w:pPr>
        <w:pStyle w:val="ListParagraph"/>
        <w:numPr>
          <w:ilvl w:val="0"/>
          <w:numId w:val="2"/>
        </w:numPr>
        <w:spacing w:before="40" w:after="40"/>
      </w:pPr>
      <w:r>
        <w:rPr>
          <w:rFonts w:ascii="Arial" w:cs="Arial" w:eastAsia="Arial" w:hAnsi="Arial"/>
          <w:sz w:val="20"/>
          <w:szCs w:val="20"/>
        </w:rPr>
        <w:t xml:space="preserve">Report error-class counts (iii: field-name mismatch, iv: parser error) quantitatively, not just taxonomically.</w:t>
      </w:r>
    </w:p>
    <w:p>
      <w:pPr>
        <w:pStyle w:val="ListParagraph"/>
        <w:numPr>
          <w:ilvl w:val="0"/>
          <w:numId w:val="2"/>
        </w:numPr>
        <w:spacing w:before="40" w:after="40"/>
      </w:pPr>
      <w:r>
        <w:rPr>
          <w:rFonts w:ascii="Arial" w:cs="Arial" w:eastAsia="Arial" w:hAnsi="Arial"/>
          <w:sz w:val="20"/>
          <w:szCs w:val="20"/>
        </w:rPr>
        <w:t xml:space="preserve">Move the speculative statement about stronger models from §5.1 to §6 Discussion.</w:t>
      </w:r>
    </w:p>
    <w:p>
      <w:pPr>
        <w:pStyle w:val="ListParagraph"/>
        <w:numPr>
          <w:ilvl w:val="0"/>
          <w:numId w:val="2"/>
        </w:numPr>
        <w:spacing w:before="40" w:after="40"/>
      </w:pPr>
      <w:r>
        <w:rPr>
          <w:rFonts w:ascii="Arial" w:cs="Arial" w:eastAsia="Arial" w:hAnsi="Arial"/>
          <w:sz w:val="20"/>
          <w:szCs w:val="20"/>
        </w:rPr>
        <w:t xml:space="preserve">Add difficulty-tier distribution to the main text (not just the appendix).</w:t>
      </w:r>
    </w:p>
    <w:p>
      <w:pPr>
        <w:pStyle w:val="ListParagraph"/>
        <w:numPr>
          <w:ilvl w:val="0"/>
          <w:numId w:val="2"/>
        </w:numPr>
        <w:spacing w:before="40" w:after="40"/>
      </w:pPr>
      <w:r>
        <w:rPr>
          <w:rFonts w:ascii="Arial" w:cs="Arial" w:eastAsia="Arial" w:hAnsi="Arial"/>
          <w:sz w:val="20"/>
          <w:szCs w:val="20"/>
        </w:rPr>
        <w:t xml:space="preserve">Reframe the comparison with Madaan et al. [Self-Refine]: RCP 'differs from' rather than 'extends'.</w:t>
      </w:r>
    </w:p>
    <w:p>
      <w:pPr>
        <w:pStyle w:val="ListParagraph"/>
        <w:numPr>
          <w:ilvl w:val="0"/>
          <w:numId w:val="2"/>
        </w:numPr>
        <w:spacing w:before="40" w:after="40"/>
      </w:pPr>
      <w:r>
        <w:rPr>
          <w:rFonts w:ascii="Arial" w:cs="Arial" w:eastAsia="Arial" w:hAnsi="Arial"/>
          <w:sz w:val="20"/>
          <w:szCs w:val="20"/>
        </w:rPr>
        <w:t xml:space="preserve">Strengthen Limitation 3 (domain scope) to clearly quantify the authoring effort required per domain.</w:t>
      </w:r>
    </w:p>
    <w:p>
      <w:pPr>
        <w:pStyle w:val="ListParagraph"/>
        <w:numPr>
          <w:ilvl w:val="0"/>
          <w:numId w:val="2"/>
        </w:numPr>
        <w:spacing w:before="40" w:after="40"/>
      </w:pPr>
      <w:r>
        <w:rPr>
          <w:rFonts w:ascii="Arial" w:cs="Arial" w:eastAsia="Arial" w:hAnsi="Arial"/>
          <w:sz w:val="20"/>
          <w:szCs w:val="20"/>
        </w:rPr>
        <w:t xml:space="preserve">Explain predicate tuning methodology in Limitation 2.</w:t>
      </w:r>
    </w:p>
    <w:p>
      <w:pPr>
        <w:pStyle w:val="ListParagraph"/>
        <w:numPr>
          <w:ilvl w:val="0"/>
          <w:numId w:val="2"/>
        </w:numPr>
        <w:spacing w:before="40" w:after="40"/>
      </w:pPr>
      <w:r>
        <w:rPr>
          <w:rFonts w:ascii="Arial" w:cs="Arial" w:eastAsia="Arial" w:hAnsi="Arial"/>
          <w:sz w:val="20"/>
          <w:szCs w:val="20"/>
        </w:rPr>
        <w:t xml:space="preserve">Add an analytical sentence in §7 attributing Case II hallucination reduction correctly to B2 vs B3.</w:t>
      </w:r>
    </w:p>
    <w:p>
      <w:pPr>
        <w:pStyle w:val="Heading3"/>
        <w:spacing w:before="200" w:after="80"/>
      </w:pPr>
      <w:r>
        <w:rPr>
          <w:rFonts w:ascii="Arial" w:cs="Arial" w:eastAsia="Arial" w:hAnsi="Arial"/>
          <w:b/>
          <w:bCs/>
          <w:color w:val="1A5276"/>
          <w:sz w:val="24"/>
          <w:szCs w:val="24"/>
        </w:rPr>
        <w:t xml:space="preserve">Minor / Style</w:t>
      </w:r>
    </w:p>
    <w:p>
      <w:pPr>
        <w:pStyle w:val="ListParagraph"/>
        <w:numPr>
          <w:ilvl w:val="0"/>
          <w:numId w:val="2"/>
        </w:numPr>
        <w:spacing w:before="40" w:after="40"/>
      </w:pPr>
      <w:r>
        <w:rPr>
          <w:rFonts w:ascii="Arial" w:cs="Arial" w:eastAsia="Arial" w:hAnsi="Arial"/>
          <w:sz w:val="20"/>
          <w:szCs w:val="20"/>
        </w:rPr>
        <w:t xml:space="preserve">Apply consistent \textit{verify-then-summarise} typographic treatment throughout.</w:t>
      </w:r>
    </w:p>
    <w:p>
      <w:pPr>
        <w:pStyle w:val="ListParagraph"/>
        <w:numPr>
          <w:ilvl w:val="0"/>
          <w:numId w:val="2"/>
        </w:numPr>
        <w:spacing w:before="40" w:after="40"/>
      </w:pPr>
      <w:r>
        <w:rPr>
          <w:rFonts w:ascii="Arial" w:cs="Arial" w:eastAsia="Arial" w:hAnsi="Arial"/>
          <w:sz w:val="20"/>
          <w:szCs w:val="20"/>
        </w:rPr>
        <w:t xml:space="preserve">Add Table 6 footnote explaining B1 citation accuracy anomaly (99% vs 88% for B3).</w:t>
      </w:r>
    </w:p>
    <w:p>
      <w:pPr>
        <w:pStyle w:val="ListParagraph"/>
        <w:numPr>
          <w:ilvl w:val="0"/>
          <w:numId w:val="2"/>
        </w:numPr>
        <w:spacing w:before="40" w:after="40"/>
      </w:pPr>
      <w:r>
        <w:rPr>
          <w:rFonts w:ascii="Arial" w:cs="Arial" w:eastAsia="Arial" w:hAnsi="Arial"/>
          <w:sz w:val="20"/>
          <w:szCs w:val="20"/>
        </w:rPr>
        <w:t xml:space="preserve">Replace 'indicate' with 'demonstrate' in the closing sentence of §7.</w:t>
      </w:r>
    </w:p>
    <w:p>
      <w:pPr>
        <w:pStyle w:val="ListParagraph"/>
        <w:numPr>
          <w:ilvl w:val="0"/>
          <w:numId w:val="2"/>
        </w:numPr>
        <w:spacing w:before="40" w:after="40"/>
      </w:pPr>
      <w:r>
        <w:rPr>
          <w:rFonts w:ascii="Arial" w:cs="Arial" w:eastAsia="Arial" w:hAnsi="Arial"/>
          <w:sz w:val="20"/>
          <w:szCs w:val="20"/>
        </w:rPr>
        <w:t xml:space="preserve">Replace 'near-zero' with 'substantially reduced' for Case II hallucination (11%).</w:t>
      </w:r>
    </w:p>
    <w:p>
      <w:pPr>
        <w:pStyle w:val="ListParagraph"/>
        <w:numPr>
          <w:ilvl w:val="0"/>
          <w:numId w:val="2"/>
        </w:numPr>
        <w:spacing w:before="40" w:after="40"/>
      </w:pPr>
      <w:r>
        <w:rPr>
          <w:rFonts w:ascii="Arial" w:cs="Arial" w:eastAsia="Arial" w:hAnsi="Arial"/>
          <w:sz w:val="20"/>
          <w:szCs w:val="20"/>
        </w:rPr>
        <w:t xml:space="preserve">Fix keywords: standardise delimiters to semicolons.</w:t>
      </w:r>
    </w:p>
    <w:p>
      <w:pPr>
        <w:pStyle w:val="ListParagraph"/>
        <w:numPr>
          <w:ilvl w:val="0"/>
          <w:numId w:val="2"/>
        </w:numPr>
        <w:spacing w:before="40" w:after="40"/>
      </w:pPr>
      <w:r>
        <w:rPr>
          <w:rFonts w:ascii="Arial" w:cs="Arial" w:eastAsia="Arial" w:hAnsi="Arial"/>
          <w:sz w:val="20"/>
          <w:szCs w:val="20"/>
        </w:rPr>
        <w:t xml:space="preserve">Fix $&lt;$ symbols in Fig. 3 caption.</w:t>
      </w:r>
    </w:p>
    <w:p>
      <w:pPr>
        <w:pStyle w:val="ListParagraph"/>
        <w:numPr>
          <w:ilvl w:val="0"/>
          <w:numId w:val="2"/>
        </w:numPr>
        <w:spacing w:before="40" w:after="40"/>
      </w:pPr>
      <w:r>
        <w:rPr>
          <w:rFonts w:ascii="Arial" w:cs="Arial" w:eastAsia="Arial" w:hAnsi="Arial"/>
          <w:sz w:val="20"/>
          <w:szCs w:val="20"/>
        </w:rPr>
        <w:t xml:space="preserve">Delete commented-out abstract from LaTeX source.</w:t>
      </w:r>
    </w:p>
    <w:p>
      <w:pPr>
        <w:pStyle w:val="ListParagraph"/>
        <w:numPr>
          <w:ilvl w:val="0"/>
          <w:numId w:val="2"/>
        </w:numPr>
        <w:spacing w:before="40" w:after="40"/>
      </w:pPr>
      <w:r>
        <w:rPr>
          <w:rFonts w:ascii="Arial" w:cs="Arial" w:eastAsia="Arial" w:hAnsi="Arial"/>
          <w:sz w:val="20"/>
          <w:szCs w:val="20"/>
        </w:rPr>
        <w:t xml:space="preserve">Change Table 6 float specifier from [h] to [!htbp].</w:t>
      </w:r>
    </w:p>
    <w:p>
      <w:pPr>
        <w:pBdr>
          <w:bottom w:val="single" w:color="CCCCCC" w:sz="4" w:space="1"/>
        </w:pBdr>
        <w:spacing w:before="160" w:after="160"/>
      </w:pPr>
    </w:p>
    <w:p>
      <w:pPr>
        <w:spacing w:before="200" w:after="0"/>
        <w:jc w:val="center"/>
      </w:pPr>
      <w:r>
        <w:rPr>
          <w:rFonts w:ascii="Arial" w:cs="Arial" w:eastAsia="Arial" w:hAnsi="Arial"/>
          <w:color w:val="999999"/>
          <w:sz w:val="18"/>
          <w:szCs w:val="18"/>
        </w:rPr>
        <w:t xml:space="preserve">End of Review</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space="4"/>
      </w:pBdr>
      <w:jc w:val="right"/>
    </w:pPr>
    <w:r>
      <w:rPr>
        <w:rFonts w:ascii="Arial" w:cs="Arial" w:eastAsia="Arial" w:hAnsi="Arial"/>
        <w:color w:val="666666"/>
        <w:sz w:val="16"/>
        <w:szCs w:val="16"/>
      </w:rPr>
      <w:t xml:space="preserve">Detailed Review — RCP Paper  |  Oscar Ikechukwu et 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4057"/>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E4057"/>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2026-03-15T19:47:01.302Z</dcterms:created>
  <dcterms:modified xsi:type="dcterms:W3CDTF">2026-03-15T19:47:01.302Z</dcterms:modified>
</cp:coreProperties>
</file>

<file path=docProps/custom.xml><?xml version="1.0" encoding="utf-8"?>
<Properties xmlns="http://schemas.openxmlformats.org/officeDocument/2006/custom-properties" xmlns:vt="http://schemas.openxmlformats.org/officeDocument/2006/docPropsVTypes"/>
</file>