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UF1_ACTIVITAT 2.1 Servidor-Debian-Dhcp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Fes les següents captures de pantalla: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Explica com has instal·lat el servei DHCP en el teu servidor Debian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Mostra la configuració de xarxa del servidor Debian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Fer un ping a google.es des del teu servidor Debian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Respon les següents preguntes: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Què significa el paràmetre subnet 192.168.1.0?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Què vol dir el paràmetre default-lease-time 600?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Què vol dir  el paràmetre max-lease-time 600?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Per a què serveix el paràmetre range 192.168.1.200 192.168.1.250?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És possible que un client obtingui l'adreça 192.168.1.182? Per què?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1C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1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