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FD5A6" w14:textId="3C34B014" w:rsidR="004B5304" w:rsidRPr="004B5304" w:rsidRDefault="004B5304" w:rsidP="00854838">
      <w:pPr>
        <w:spacing w:before="240"/>
        <w:jc w:val="center"/>
        <w:rPr>
          <w:rFonts w:ascii="Georgia" w:hAnsi="Georgia" w:cs="Calibri Light"/>
          <w:sz w:val="56"/>
          <w:szCs w:val="56"/>
        </w:rPr>
      </w:pPr>
      <w:r w:rsidRPr="004B5304">
        <w:rPr>
          <w:rFonts w:ascii="Georgia" w:hAnsi="Georgia" w:cs="Calibri Light"/>
          <w:b/>
          <w:bCs/>
          <w:sz w:val="56"/>
          <w:szCs w:val="56"/>
        </w:rPr>
        <w:t>Energy Market Dynamics Across Regions and Energy Types</w:t>
      </w:r>
    </w:p>
    <w:p w14:paraId="141419A6" w14:textId="77777777" w:rsidR="004B5304" w:rsidRPr="004B5304" w:rsidRDefault="004B5304" w:rsidP="0081131C">
      <w:pPr>
        <w:spacing w:before="240"/>
        <w:jc w:val="center"/>
        <w:rPr>
          <w:rFonts w:ascii="Georgia" w:hAnsi="Georgia" w:cs="Calibri Light"/>
          <w:sz w:val="56"/>
          <w:szCs w:val="56"/>
        </w:rPr>
      </w:pPr>
      <w:r w:rsidRPr="004B5304">
        <w:rPr>
          <w:rFonts w:ascii="Georgia" w:hAnsi="Georgia" w:cs="Calibri Light"/>
          <w:b/>
          <w:bCs/>
          <w:sz w:val="56"/>
          <w:szCs w:val="56"/>
        </w:rPr>
        <w:t>Three</w:t>
      </w:r>
      <w:r w:rsidRPr="004B5304">
        <w:rPr>
          <w:rFonts w:ascii="Georgia" w:hAnsi="Georgia" w:cs="Calibri Light"/>
          <w:b/>
          <w:bCs/>
          <w:sz w:val="56"/>
          <w:szCs w:val="56"/>
        </w:rPr>
        <w:noBreakHyphen/>
        <w:t>Year Analytical Briefing Note</w:t>
      </w:r>
    </w:p>
    <w:p w14:paraId="6228AEB3" w14:textId="77777777" w:rsidR="004B5304" w:rsidRPr="004B5304" w:rsidRDefault="004B5304" w:rsidP="0081131C">
      <w:pPr>
        <w:spacing w:before="240"/>
        <w:jc w:val="center"/>
        <w:rPr>
          <w:rFonts w:ascii="Georgia" w:hAnsi="Georgia" w:cs="Calibri Light"/>
        </w:rPr>
      </w:pPr>
    </w:p>
    <w:p w14:paraId="4DC2E81C" w14:textId="57E5550F" w:rsidR="004B5304" w:rsidRPr="004B5304" w:rsidRDefault="004B5304" w:rsidP="0081131C">
      <w:pPr>
        <w:spacing w:before="240"/>
        <w:jc w:val="center"/>
        <w:rPr>
          <w:rFonts w:ascii="Georgia" w:hAnsi="Georgia" w:cs="Calibri Light"/>
          <w:sz w:val="36"/>
          <w:szCs w:val="36"/>
        </w:rPr>
      </w:pPr>
      <w:r w:rsidRPr="004B5304">
        <w:rPr>
          <w:rFonts w:ascii="Georgia" w:hAnsi="Georgia" w:cs="Calibri Light"/>
          <w:sz w:val="28"/>
          <w:szCs w:val="28"/>
        </w:rPr>
        <w:t>Prepared for</w:t>
      </w:r>
      <w:r w:rsidRPr="004B5304">
        <w:rPr>
          <w:rFonts w:ascii="Georgia" w:hAnsi="Georgia" w:cs="Calibri Light"/>
        </w:rPr>
        <w:br/>
      </w:r>
      <w:r w:rsidRPr="004B5304">
        <w:rPr>
          <w:rFonts w:ascii="Georgia" w:hAnsi="Georgia" w:cs="Calibri Light"/>
          <w:b/>
          <w:bCs/>
          <w:sz w:val="36"/>
          <w:szCs w:val="36"/>
        </w:rPr>
        <w:t xml:space="preserve">Energy Market Analysis Project </w:t>
      </w:r>
    </w:p>
    <w:p w14:paraId="494F6744" w14:textId="10769005" w:rsidR="004B5304" w:rsidRPr="004B5304" w:rsidRDefault="004B5304" w:rsidP="0081131C">
      <w:pPr>
        <w:spacing w:before="240"/>
        <w:jc w:val="center"/>
        <w:rPr>
          <w:rFonts w:ascii="Georgia" w:hAnsi="Georgia" w:cs="Calibri Light"/>
        </w:rPr>
      </w:pPr>
      <w:r w:rsidRPr="004B5304">
        <w:rPr>
          <w:rFonts w:ascii="Georgia" w:hAnsi="Georgia" w:cs="Calibri Light"/>
          <w:sz w:val="28"/>
          <w:szCs w:val="28"/>
        </w:rPr>
        <w:t>Prepared by</w:t>
      </w:r>
      <w:r w:rsidRPr="004B5304">
        <w:rPr>
          <w:rFonts w:ascii="Georgia" w:hAnsi="Georgia" w:cs="Calibri Light"/>
        </w:rPr>
        <w:br/>
      </w:r>
      <w:r w:rsidRPr="004B5304">
        <w:rPr>
          <w:rFonts w:ascii="Georgia" w:hAnsi="Georgia" w:cs="Calibri Light"/>
          <w:b/>
          <w:bCs/>
          <w:sz w:val="36"/>
          <w:szCs w:val="36"/>
        </w:rPr>
        <w:t>Joana Osegh</w:t>
      </w:r>
      <w:r w:rsidR="00410026" w:rsidRPr="00410026">
        <w:rPr>
          <w:rFonts w:ascii="Georgia" w:hAnsi="Georgia" w:cs="Calibri Light"/>
          <w:b/>
          <w:bCs/>
          <w:sz w:val="36"/>
          <w:szCs w:val="36"/>
        </w:rPr>
        <w:t>wa</w:t>
      </w:r>
      <w:r w:rsidRPr="004B5304">
        <w:rPr>
          <w:rFonts w:ascii="Georgia" w:hAnsi="Georgia" w:cs="Calibri Light"/>
        </w:rPr>
        <w:br/>
      </w:r>
      <w:r w:rsidRPr="004B5304">
        <w:rPr>
          <w:rFonts w:ascii="Georgia" w:hAnsi="Georgia" w:cs="Calibri Light"/>
          <w:sz w:val="28"/>
          <w:szCs w:val="28"/>
        </w:rPr>
        <w:t>Data Analyst (Portfolio Project)</w:t>
      </w:r>
    </w:p>
    <w:p w14:paraId="06398787" w14:textId="77777777" w:rsidR="004B5304" w:rsidRPr="004B5304" w:rsidRDefault="004B5304" w:rsidP="0081131C">
      <w:pPr>
        <w:spacing w:before="240"/>
        <w:jc w:val="center"/>
        <w:rPr>
          <w:rFonts w:ascii="Georgia" w:hAnsi="Georgia" w:cs="Calibri Light"/>
        </w:rPr>
      </w:pPr>
    </w:p>
    <w:p w14:paraId="68110821" w14:textId="713799BE" w:rsidR="004B5304" w:rsidRPr="004B5304" w:rsidRDefault="004B5304" w:rsidP="0081131C">
      <w:pPr>
        <w:spacing w:before="240"/>
        <w:jc w:val="center"/>
        <w:rPr>
          <w:rFonts w:ascii="Georgia" w:hAnsi="Georgia" w:cs="Calibri Light"/>
          <w:sz w:val="28"/>
          <w:szCs w:val="28"/>
        </w:rPr>
      </w:pPr>
      <w:r w:rsidRPr="004B5304">
        <w:rPr>
          <w:rFonts w:ascii="Georgia" w:hAnsi="Georgia" w:cs="Calibri Light"/>
          <w:b/>
          <w:bCs/>
          <w:sz w:val="28"/>
          <w:szCs w:val="28"/>
        </w:rPr>
        <w:t>Date:</w:t>
      </w:r>
      <w:r w:rsidRPr="004B5304">
        <w:rPr>
          <w:rFonts w:ascii="Georgia" w:hAnsi="Georgia" w:cs="Calibri Light"/>
          <w:sz w:val="28"/>
          <w:szCs w:val="28"/>
        </w:rPr>
        <w:t xml:space="preserve"> February 2026</w:t>
      </w:r>
    </w:p>
    <w:p w14:paraId="7071BBC4" w14:textId="5F1147A0" w:rsidR="004B5304" w:rsidRPr="004B5304" w:rsidRDefault="004B5304" w:rsidP="0081131C">
      <w:pPr>
        <w:spacing w:before="240"/>
        <w:jc w:val="center"/>
        <w:rPr>
          <w:rFonts w:ascii="Georgia" w:hAnsi="Georgia" w:cs="Calibri Light"/>
        </w:rPr>
      </w:pPr>
      <w:r w:rsidRPr="004B5304">
        <w:rPr>
          <w:rFonts w:ascii="Georgia" w:hAnsi="Georgia" w:cs="Calibri Light"/>
        </w:rPr>
        <w:br/>
      </w:r>
    </w:p>
    <w:p w14:paraId="0ADCD50E" w14:textId="77777777" w:rsidR="0064437A" w:rsidRPr="0064437A" w:rsidRDefault="0064437A" w:rsidP="0081131C">
      <w:pPr>
        <w:spacing w:before="240"/>
        <w:jc w:val="center"/>
        <w:rPr>
          <w:rFonts w:ascii="Georgia" w:hAnsi="Georgia" w:cs="Calibri Light"/>
          <w:b/>
          <w:bCs/>
          <w:sz w:val="36"/>
          <w:szCs w:val="36"/>
        </w:rPr>
      </w:pPr>
      <w:r w:rsidRPr="0064437A">
        <w:rPr>
          <w:rFonts w:ascii="Georgia" w:hAnsi="Georgia" w:cs="Calibri Light"/>
          <w:noProof/>
          <w:sz w:val="36"/>
          <w:szCs w:val="36"/>
        </w:rPr>
        <mc:AlternateContent>
          <mc:Choice Requires="wps">
            <w:drawing>
              <wp:anchor distT="0" distB="0" distL="114300" distR="114300" simplePos="0" relativeHeight="251659264" behindDoc="0" locked="0" layoutInCell="1" allowOverlap="1" wp14:anchorId="65A8BD20" wp14:editId="4EC7EA42">
                <wp:simplePos x="0" y="0"/>
                <wp:positionH relativeFrom="page">
                  <wp:posOffset>0</wp:posOffset>
                </wp:positionH>
                <wp:positionV relativeFrom="paragraph">
                  <wp:posOffset>-259927</wp:posOffset>
                </wp:positionV>
                <wp:extent cx="7729855" cy="17145"/>
                <wp:effectExtent l="0" t="0" r="23495" b="20955"/>
                <wp:wrapNone/>
                <wp:docPr id="1265837043" name="Straight Connector 1"/>
                <wp:cNvGraphicFramePr/>
                <a:graphic xmlns:a="http://schemas.openxmlformats.org/drawingml/2006/main">
                  <a:graphicData uri="http://schemas.microsoft.com/office/word/2010/wordprocessingShape">
                    <wps:wsp>
                      <wps:cNvCnPr/>
                      <wps:spPr>
                        <a:xfrm flipV="1">
                          <a:off x="0" y="0"/>
                          <a:ext cx="7729855" cy="17145"/>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0FDDF2"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0,-20.45pt" to="608.6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35i/qQEAAJYDAAAOAAAAZHJzL2Uyb0RvYy54bWysU02P0zAQvSPxHyzfaZKK0iVquoddwQXB&#10;ChbuXmfcWNgeyzZN+u8ZO20WAbsHxMXyx7w3896Md9eTNewIIWp0HW9WNWfgJPbaHTr+9f7dqyvO&#10;YhKuFwYddPwEkV/vX77Yjb6FNQ5oegiMSFxsR9/xISXfVlWUA1gRV+jB0aPCYEWiYzhUfRAjsVtT&#10;rev6TTVi6H1ACTHS7e38yPeFXymQ6ZNSERIzHafaUllDWR/yWu13oj0E4Qctz2WIf6jCCu0o6UJ1&#10;K5JgP4L+g8pqGTCiSiuJtkKltISigdQ09W9qvgzCQ9FC5kS/2BT/H638eLxxd4FsGH1so78LWcWk&#10;gmXKaP+Nelp0UaVsKradFttgSkzS5Xa7fnu12XAm6a3ZNq832dZqpsl0PsT0HtCyvOm40S6rEq04&#10;fohpDr2EEO6xkLJLJwM52LjPoJjuKeG6oMuMwI0J7Ciou/335py2RGaI0sYsoPp50Dk2w6DMzQKc&#10;DXgy2xJdMqJLC9Bqh+FvWdN0KVXN8RfVs9Ys+wH7U2lLsYOaXww9D2qerl/PBf74nfY/AQAA//8D&#10;AFBLAwQUAAYACAAAACEAPQBRUNwAAAAJAQAADwAAAGRycy9kb3ducmV2LnhtbEyPzW7CMBCE75X6&#10;DtZW6g0ckqqENA4CJNQLF34ewMRLHDVeR7YB9+0xp/Y4O6uZb+plNAO7ofO9JQGzaQYMqbWqp07A&#10;6bidlMB8kKTkYAkF/KKHZfP6UstK2Tvt8XYIHUsh5CspQIcwVpz7VqORfmpHpORdrDMyJOk6rpy8&#10;p3Az8DzLPrmRPaUGLUfcaGx/DlcjwGy+5zu7L2Pceaf8+lIEbUiI97e4+gIWMIa/Z3jiJ3RoEtPZ&#10;Xkl5NghIQ4KAyUe2APa089m8AHZOp6LMgTc1/7+geQAAAP//AwBQSwECLQAUAAYACAAAACEAtoM4&#10;kv4AAADhAQAAEwAAAAAAAAAAAAAAAAAAAAAAW0NvbnRlbnRfVHlwZXNdLnhtbFBLAQItABQABgAI&#10;AAAAIQA4/SH/1gAAAJQBAAALAAAAAAAAAAAAAAAAAC8BAABfcmVscy8ucmVsc1BLAQItABQABgAI&#10;AAAAIQC735i/qQEAAJYDAAAOAAAAAAAAAAAAAAAAAC4CAABkcnMvZTJvRG9jLnhtbFBLAQItABQA&#10;BgAIAAAAIQA9AFFQ3AAAAAkBAAAPAAAAAAAAAAAAAAAAAAMEAABkcnMvZG93bnJldi54bWxQSwUG&#10;AAAAAAQABADzAAAADAUAAAAA&#10;" strokecolor="black [3200]" strokeweight="1pt">
                <v:stroke joinstyle="miter"/>
                <w10:wrap anchorx="page"/>
              </v:line>
            </w:pict>
          </mc:Fallback>
        </mc:AlternateContent>
      </w:r>
      <w:r w:rsidR="004B5304" w:rsidRPr="004B5304">
        <w:rPr>
          <w:rFonts w:ascii="Georgia" w:hAnsi="Georgia" w:cs="Calibri Light"/>
          <w:b/>
          <w:bCs/>
          <w:sz w:val="36"/>
          <w:szCs w:val="36"/>
        </w:rPr>
        <w:t>Confidential Report</w:t>
      </w:r>
    </w:p>
    <w:p w14:paraId="75C46466" w14:textId="3512AA71" w:rsidR="004B5304" w:rsidRPr="00854838" w:rsidRDefault="004B5304" w:rsidP="00854838">
      <w:pPr>
        <w:spacing w:before="240"/>
        <w:jc w:val="center"/>
        <w:rPr>
          <w:rFonts w:ascii="Georgia" w:hAnsi="Georgia" w:cs="Calibri Light"/>
          <w:sz w:val="28"/>
          <w:szCs w:val="28"/>
        </w:rPr>
      </w:pPr>
      <w:r w:rsidRPr="004B5304">
        <w:rPr>
          <w:rFonts w:ascii="Georgia" w:hAnsi="Georgia" w:cs="Calibri Light"/>
          <w:sz w:val="28"/>
          <w:szCs w:val="28"/>
        </w:rPr>
        <w:t>Prepared exclusively for review and assessment purposes</w:t>
      </w:r>
    </w:p>
    <w:p w14:paraId="344E8BEF" w14:textId="445B2398" w:rsidR="004B5304" w:rsidRDefault="004B5304">
      <w:pPr>
        <w:rPr>
          <w:b/>
          <w:bCs/>
        </w:rPr>
      </w:pPr>
      <w:r>
        <w:rPr>
          <w:b/>
          <w:bCs/>
        </w:rPr>
        <w:br w:type="page"/>
      </w:r>
    </w:p>
    <w:p w14:paraId="3ABADDDA" w14:textId="45F328AF" w:rsidR="00273990" w:rsidRDefault="00273990" w:rsidP="00273990">
      <w:pPr>
        <w:pStyle w:val="Heading1"/>
      </w:pPr>
      <w:r>
        <w:lastRenderedPageBreak/>
        <w:t>Contents</w:t>
      </w:r>
    </w:p>
    <w:p w14:paraId="1FDCF581" w14:textId="7C5A995F" w:rsidR="00F8320C" w:rsidRDefault="00F8320C">
      <w:pPr>
        <w:pStyle w:val="TOC1"/>
        <w:tabs>
          <w:tab w:val="right" w:pos="9016"/>
        </w:tabs>
        <w:rPr>
          <w:rFonts w:asciiTheme="minorHAnsi" w:eastAsiaTheme="minorEastAsia" w:hAnsiTheme="minorHAnsi"/>
          <w:b w:val="0"/>
          <w:bCs w:val="0"/>
          <w:caps w:val="0"/>
          <w:noProof/>
          <w:lang w:eastAsia="en-GB"/>
        </w:rPr>
      </w:pPr>
      <w:r>
        <w:fldChar w:fldCharType="begin"/>
      </w:r>
      <w:r>
        <w:instrText xml:space="preserve"> TOC \o "1-1" \f \u </w:instrText>
      </w:r>
      <w:r>
        <w:fldChar w:fldCharType="separate"/>
      </w:r>
      <w:r>
        <w:rPr>
          <w:noProof/>
        </w:rPr>
        <w:t>Executive Summary</w:t>
      </w:r>
      <w:r>
        <w:rPr>
          <w:noProof/>
        </w:rPr>
        <w:tab/>
      </w:r>
      <w:r>
        <w:rPr>
          <w:noProof/>
        </w:rPr>
        <w:fldChar w:fldCharType="begin"/>
      </w:r>
      <w:r>
        <w:rPr>
          <w:noProof/>
        </w:rPr>
        <w:instrText xml:space="preserve"> PAGEREF _Toc222056981 \h </w:instrText>
      </w:r>
      <w:r>
        <w:rPr>
          <w:noProof/>
        </w:rPr>
      </w:r>
      <w:r>
        <w:rPr>
          <w:noProof/>
        </w:rPr>
        <w:fldChar w:fldCharType="separate"/>
      </w:r>
      <w:r>
        <w:rPr>
          <w:noProof/>
        </w:rPr>
        <w:t>3</w:t>
      </w:r>
      <w:r>
        <w:rPr>
          <w:noProof/>
        </w:rPr>
        <w:fldChar w:fldCharType="end"/>
      </w:r>
    </w:p>
    <w:p w14:paraId="7AC32788" w14:textId="7FAF2395" w:rsidR="00F8320C" w:rsidRDefault="00F8320C">
      <w:pPr>
        <w:pStyle w:val="TOC1"/>
        <w:tabs>
          <w:tab w:val="right" w:pos="9016"/>
        </w:tabs>
        <w:rPr>
          <w:rFonts w:asciiTheme="minorHAnsi" w:eastAsiaTheme="minorEastAsia" w:hAnsiTheme="minorHAnsi"/>
          <w:b w:val="0"/>
          <w:bCs w:val="0"/>
          <w:caps w:val="0"/>
          <w:noProof/>
          <w:lang w:eastAsia="en-GB"/>
        </w:rPr>
      </w:pPr>
      <w:r>
        <w:rPr>
          <w:noProof/>
        </w:rPr>
        <w:t>Purpose</w:t>
      </w:r>
      <w:r>
        <w:rPr>
          <w:noProof/>
        </w:rPr>
        <w:tab/>
      </w:r>
      <w:r>
        <w:rPr>
          <w:noProof/>
        </w:rPr>
        <w:fldChar w:fldCharType="begin"/>
      </w:r>
      <w:r>
        <w:rPr>
          <w:noProof/>
        </w:rPr>
        <w:instrText xml:space="preserve"> PAGEREF _Toc222056982 \h </w:instrText>
      </w:r>
      <w:r>
        <w:rPr>
          <w:noProof/>
        </w:rPr>
      </w:r>
      <w:r>
        <w:rPr>
          <w:noProof/>
        </w:rPr>
        <w:fldChar w:fldCharType="separate"/>
      </w:r>
      <w:r>
        <w:rPr>
          <w:noProof/>
        </w:rPr>
        <w:t>3</w:t>
      </w:r>
      <w:r>
        <w:rPr>
          <w:noProof/>
        </w:rPr>
        <w:fldChar w:fldCharType="end"/>
      </w:r>
    </w:p>
    <w:p w14:paraId="2BD08C29" w14:textId="5ECF187D" w:rsidR="00F8320C" w:rsidRDefault="00F8320C">
      <w:pPr>
        <w:pStyle w:val="TOC1"/>
        <w:tabs>
          <w:tab w:val="right" w:pos="9016"/>
        </w:tabs>
        <w:rPr>
          <w:rFonts w:asciiTheme="minorHAnsi" w:eastAsiaTheme="minorEastAsia" w:hAnsiTheme="minorHAnsi"/>
          <w:b w:val="0"/>
          <w:bCs w:val="0"/>
          <w:caps w:val="0"/>
          <w:noProof/>
          <w:lang w:eastAsia="en-GB"/>
        </w:rPr>
      </w:pPr>
      <w:r>
        <w:rPr>
          <w:noProof/>
        </w:rPr>
        <w:t>Dataset Overview</w:t>
      </w:r>
      <w:r>
        <w:rPr>
          <w:noProof/>
        </w:rPr>
        <w:tab/>
      </w:r>
      <w:r>
        <w:rPr>
          <w:noProof/>
        </w:rPr>
        <w:fldChar w:fldCharType="begin"/>
      </w:r>
      <w:r>
        <w:rPr>
          <w:noProof/>
        </w:rPr>
        <w:instrText xml:space="preserve"> PAGEREF _Toc222056983 \h </w:instrText>
      </w:r>
      <w:r>
        <w:rPr>
          <w:noProof/>
        </w:rPr>
      </w:r>
      <w:r>
        <w:rPr>
          <w:noProof/>
        </w:rPr>
        <w:fldChar w:fldCharType="separate"/>
      </w:r>
      <w:r>
        <w:rPr>
          <w:noProof/>
        </w:rPr>
        <w:t>3</w:t>
      </w:r>
      <w:r>
        <w:rPr>
          <w:noProof/>
        </w:rPr>
        <w:fldChar w:fldCharType="end"/>
      </w:r>
    </w:p>
    <w:p w14:paraId="7A9DCF31" w14:textId="641ED4FD" w:rsidR="00F8320C" w:rsidRDefault="00F8320C">
      <w:pPr>
        <w:pStyle w:val="TOC1"/>
        <w:tabs>
          <w:tab w:val="right" w:pos="9016"/>
        </w:tabs>
        <w:rPr>
          <w:rFonts w:asciiTheme="minorHAnsi" w:eastAsiaTheme="minorEastAsia" w:hAnsiTheme="minorHAnsi"/>
          <w:b w:val="0"/>
          <w:bCs w:val="0"/>
          <w:caps w:val="0"/>
          <w:noProof/>
          <w:lang w:eastAsia="en-GB"/>
        </w:rPr>
      </w:pPr>
      <w:r>
        <w:rPr>
          <w:noProof/>
        </w:rPr>
        <w:t>Key Insights</w:t>
      </w:r>
      <w:r>
        <w:rPr>
          <w:noProof/>
        </w:rPr>
        <w:tab/>
      </w:r>
      <w:r>
        <w:rPr>
          <w:noProof/>
        </w:rPr>
        <w:fldChar w:fldCharType="begin"/>
      </w:r>
      <w:r>
        <w:rPr>
          <w:noProof/>
        </w:rPr>
        <w:instrText xml:space="preserve"> PAGEREF _Toc222056984 \h </w:instrText>
      </w:r>
      <w:r>
        <w:rPr>
          <w:noProof/>
        </w:rPr>
      </w:r>
      <w:r>
        <w:rPr>
          <w:noProof/>
        </w:rPr>
        <w:fldChar w:fldCharType="separate"/>
      </w:r>
      <w:r>
        <w:rPr>
          <w:noProof/>
        </w:rPr>
        <w:t>4</w:t>
      </w:r>
      <w:r>
        <w:rPr>
          <w:noProof/>
        </w:rPr>
        <w:fldChar w:fldCharType="end"/>
      </w:r>
    </w:p>
    <w:p w14:paraId="132283E3" w14:textId="11AF1221" w:rsidR="00F8320C" w:rsidRDefault="00F8320C">
      <w:pPr>
        <w:pStyle w:val="TOC1"/>
        <w:tabs>
          <w:tab w:val="right" w:pos="9016"/>
        </w:tabs>
        <w:rPr>
          <w:rFonts w:asciiTheme="minorHAnsi" w:eastAsiaTheme="minorEastAsia" w:hAnsiTheme="minorHAnsi"/>
          <w:b w:val="0"/>
          <w:bCs w:val="0"/>
          <w:caps w:val="0"/>
          <w:noProof/>
          <w:lang w:eastAsia="en-GB"/>
        </w:rPr>
      </w:pPr>
      <w:r>
        <w:rPr>
          <w:noProof/>
        </w:rPr>
        <w:t>Implications for Decision</w:t>
      </w:r>
      <w:r>
        <w:rPr>
          <w:noProof/>
        </w:rPr>
        <w:noBreakHyphen/>
        <w:t>Makers</w:t>
      </w:r>
      <w:r>
        <w:rPr>
          <w:noProof/>
        </w:rPr>
        <w:tab/>
      </w:r>
      <w:r>
        <w:rPr>
          <w:noProof/>
        </w:rPr>
        <w:fldChar w:fldCharType="begin"/>
      </w:r>
      <w:r>
        <w:rPr>
          <w:noProof/>
        </w:rPr>
        <w:instrText xml:space="preserve"> PAGEREF _Toc222056985 \h </w:instrText>
      </w:r>
      <w:r>
        <w:rPr>
          <w:noProof/>
        </w:rPr>
      </w:r>
      <w:r>
        <w:rPr>
          <w:noProof/>
        </w:rPr>
        <w:fldChar w:fldCharType="separate"/>
      </w:r>
      <w:r>
        <w:rPr>
          <w:noProof/>
        </w:rPr>
        <w:t>5</w:t>
      </w:r>
      <w:r>
        <w:rPr>
          <w:noProof/>
        </w:rPr>
        <w:fldChar w:fldCharType="end"/>
      </w:r>
    </w:p>
    <w:p w14:paraId="2E2A6353" w14:textId="225F9BE7" w:rsidR="00F8320C" w:rsidRDefault="00F8320C">
      <w:pPr>
        <w:pStyle w:val="TOC1"/>
        <w:tabs>
          <w:tab w:val="right" w:pos="9016"/>
        </w:tabs>
        <w:rPr>
          <w:rFonts w:asciiTheme="minorHAnsi" w:eastAsiaTheme="minorEastAsia" w:hAnsiTheme="minorHAnsi"/>
          <w:b w:val="0"/>
          <w:bCs w:val="0"/>
          <w:caps w:val="0"/>
          <w:noProof/>
          <w:lang w:eastAsia="en-GB"/>
        </w:rPr>
      </w:pPr>
      <w:r>
        <w:rPr>
          <w:noProof/>
        </w:rPr>
        <w:t>Recommendations</w:t>
      </w:r>
      <w:r>
        <w:rPr>
          <w:noProof/>
        </w:rPr>
        <w:tab/>
      </w:r>
      <w:r>
        <w:rPr>
          <w:noProof/>
        </w:rPr>
        <w:fldChar w:fldCharType="begin"/>
      </w:r>
      <w:r>
        <w:rPr>
          <w:noProof/>
        </w:rPr>
        <w:instrText xml:space="preserve"> PAGEREF _Toc222056986 \h </w:instrText>
      </w:r>
      <w:r>
        <w:rPr>
          <w:noProof/>
        </w:rPr>
      </w:r>
      <w:r>
        <w:rPr>
          <w:noProof/>
        </w:rPr>
        <w:fldChar w:fldCharType="separate"/>
      </w:r>
      <w:r>
        <w:rPr>
          <w:noProof/>
        </w:rPr>
        <w:t>5</w:t>
      </w:r>
      <w:r>
        <w:rPr>
          <w:noProof/>
        </w:rPr>
        <w:fldChar w:fldCharType="end"/>
      </w:r>
    </w:p>
    <w:p w14:paraId="2B31220C" w14:textId="3933CFF8" w:rsidR="00F8320C" w:rsidRDefault="00F8320C">
      <w:pPr>
        <w:pStyle w:val="TOC1"/>
        <w:tabs>
          <w:tab w:val="right" w:pos="9016"/>
        </w:tabs>
        <w:rPr>
          <w:rFonts w:asciiTheme="minorHAnsi" w:eastAsiaTheme="minorEastAsia" w:hAnsiTheme="minorHAnsi"/>
          <w:b w:val="0"/>
          <w:bCs w:val="0"/>
          <w:caps w:val="0"/>
          <w:noProof/>
          <w:lang w:eastAsia="en-GB"/>
        </w:rPr>
      </w:pPr>
      <w:r>
        <w:rPr>
          <w:noProof/>
        </w:rPr>
        <w:t>Limitations</w:t>
      </w:r>
      <w:r>
        <w:rPr>
          <w:noProof/>
        </w:rPr>
        <w:tab/>
      </w:r>
      <w:r>
        <w:rPr>
          <w:noProof/>
        </w:rPr>
        <w:fldChar w:fldCharType="begin"/>
      </w:r>
      <w:r>
        <w:rPr>
          <w:noProof/>
        </w:rPr>
        <w:instrText xml:space="preserve"> PAGEREF _Toc222056987 \h </w:instrText>
      </w:r>
      <w:r>
        <w:rPr>
          <w:noProof/>
        </w:rPr>
      </w:r>
      <w:r>
        <w:rPr>
          <w:noProof/>
        </w:rPr>
        <w:fldChar w:fldCharType="separate"/>
      </w:r>
      <w:r>
        <w:rPr>
          <w:noProof/>
        </w:rPr>
        <w:t>6</w:t>
      </w:r>
      <w:r>
        <w:rPr>
          <w:noProof/>
        </w:rPr>
        <w:fldChar w:fldCharType="end"/>
      </w:r>
    </w:p>
    <w:p w14:paraId="16F3F75C" w14:textId="7F7CEC77" w:rsidR="00F8320C" w:rsidRDefault="00F8320C">
      <w:pPr>
        <w:pStyle w:val="TOC1"/>
        <w:tabs>
          <w:tab w:val="right" w:pos="9016"/>
        </w:tabs>
        <w:rPr>
          <w:rFonts w:asciiTheme="minorHAnsi" w:eastAsiaTheme="minorEastAsia" w:hAnsiTheme="minorHAnsi"/>
          <w:b w:val="0"/>
          <w:bCs w:val="0"/>
          <w:caps w:val="0"/>
          <w:noProof/>
          <w:lang w:eastAsia="en-GB"/>
        </w:rPr>
      </w:pPr>
      <w:r>
        <w:rPr>
          <w:noProof/>
        </w:rPr>
        <w:t>Conclusion assigned</w:t>
      </w:r>
      <w:r>
        <w:rPr>
          <w:noProof/>
        </w:rPr>
        <w:tab/>
      </w:r>
      <w:r>
        <w:rPr>
          <w:noProof/>
        </w:rPr>
        <w:fldChar w:fldCharType="begin"/>
      </w:r>
      <w:r>
        <w:rPr>
          <w:noProof/>
        </w:rPr>
        <w:instrText xml:space="preserve"> PAGEREF _Toc222056988 \h </w:instrText>
      </w:r>
      <w:r>
        <w:rPr>
          <w:noProof/>
        </w:rPr>
      </w:r>
      <w:r>
        <w:rPr>
          <w:noProof/>
        </w:rPr>
        <w:fldChar w:fldCharType="separate"/>
      </w:r>
      <w:r>
        <w:rPr>
          <w:noProof/>
        </w:rPr>
        <w:t>6</w:t>
      </w:r>
      <w:r>
        <w:rPr>
          <w:noProof/>
        </w:rPr>
        <w:fldChar w:fldCharType="end"/>
      </w:r>
    </w:p>
    <w:p w14:paraId="28654576" w14:textId="6D718166" w:rsidR="00F8320C" w:rsidRDefault="00F8320C">
      <w:pPr>
        <w:pStyle w:val="TOC1"/>
        <w:tabs>
          <w:tab w:val="right" w:pos="9016"/>
        </w:tabs>
        <w:rPr>
          <w:rFonts w:asciiTheme="minorHAnsi" w:eastAsiaTheme="minorEastAsia" w:hAnsiTheme="minorHAnsi"/>
          <w:b w:val="0"/>
          <w:bCs w:val="0"/>
          <w:caps w:val="0"/>
          <w:noProof/>
          <w:lang w:eastAsia="en-GB"/>
        </w:rPr>
      </w:pPr>
      <w:r>
        <w:rPr>
          <w:noProof/>
        </w:rPr>
        <w:t>Analysis of Energy Market Trends</w:t>
      </w:r>
      <w:r>
        <w:rPr>
          <w:noProof/>
        </w:rPr>
        <w:tab/>
      </w:r>
      <w:r>
        <w:rPr>
          <w:noProof/>
        </w:rPr>
        <w:fldChar w:fldCharType="begin"/>
      </w:r>
      <w:r>
        <w:rPr>
          <w:noProof/>
        </w:rPr>
        <w:instrText xml:space="preserve"> PAGEREF _Toc222056989 \h </w:instrText>
      </w:r>
      <w:r>
        <w:rPr>
          <w:noProof/>
        </w:rPr>
      </w:r>
      <w:r>
        <w:rPr>
          <w:noProof/>
        </w:rPr>
        <w:fldChar w:fldCharType="separate"/>
      </w:r>
      <w:r>
        <w:rPr>
          <w:noProof/>
        </w:rPr>
        <w:t>7</w:t>
      </w:r>
      <w:r>
        <w:rPr>
          <w:noProof/>
        </w:rPr>
        <w:fldChar w:fldCharType="end"/>
      </w:r>
    </w:p>
    <w:p w14:paraId="50268CD1" w14:textId="20B6C1EA" w:rsidR="00F8320C" w:rsidRDefault="00F8320C">
      <w:pPr>
        <w:pStyle w:val="TOC1"/>
        <w:tabs>
          <w:tab w:val="right" w:pos="9016"/>
        </w:tabs>
        <w:rPr>
          <w:rFonts w:asciiTheme="minorHAnsi" w:eastAsiaTheme="minorEastAsia" w:hAnsiTheme="minorHAnsi"/>
          <w:b w:val="0"/>
          <w:bCs w:val="0"/>
          <w:caps w:val="0"/>
          <w:noProof/>
          <w:lang w:eastAsia="en-GB"/>
        </w:rPr>
      </w:pPr>
      <w:r>
        <w:rPr>
          <w:noProof/>
        </w:rPr>
        <w:t>TECHNICAL APPENDIX</w:t>
      </w:r>
      <w:r>
        <w:rPr>
          <w:noProof/>
        </w:rPr>
        <w:tab/>
      </w:r>
      <w:r>
        <w:rPr>
          <w:noProof/>
        </w:rPr>
        <w:fldChar w:fldCharType="begin"/>
      </w:r>
      <w:r>
        <w:rPr>
          <w:noProof/>
        </w:rPr>
        <w:instrText xml:space="preserve"> PAGEREF _Toc222056990 \h </w:instrText>
      </w:r>
      <w:r>
        <w:rPr>
          <w:noProof/>
        </w:rPr>
      </w:r>
      <w:r>
        <w:rPr>
          <w:noProof/>
        </w:rPr>
        <w:fldChar w:fldCharType="separate"/>
      </w:r>
      <w:r>
        <w:rPr>
          <w:noProof/>
        </w:rPr>
        <w:t>15</w:t>
      </w:r>
      <w:r>
        <w:rPr>
          <w:noProof/>
        </w:rPr>
        <w:fldChar w:fldCharType="end"/>
      </w:r>
    </w:p>
    <w:p w14:paraId="77715AE7" w14:textId="71F51CAB" w:rsidR="004B5304" w:rsidRDefault="00F8320C" w:rsidP="004B5304">
      <w:pPr>
        <w:jc w:val="center"/>
      </w:pPr>
      <w:r>
        <w:fldChar w:fldCharType="end"/>
      </w:r>
    </w:p>
    <w:p w14:paraId="2FEF5B89" w14:textId="0C97612D" w:rsidR="001F7E7F" w:rsidRDefault="001F7E7F">
      <w:pPr>
        <w:rPr>
          <w:b/>
          <w:bCs/>
        </w:rPr>
      </w:pPr>
      <w:r>
        <w:rPr>
          <w:b/>
          <w:bCs/>
        </w:rPr>
        <w:br w:type="page"/>
      </w:r>
    </w:p>
    <w:p w14:paraId="2677BCFD" w14:textId="77777777" w:rsidR="001F7E7F" w:rsidRPr="00620637" w:rsidRDefault="001F7E7F" w:rsidP="001F7E7F">
      <w:pPr>
        <w:ind w:left="360"/>
      </w:pPr>
    </w:p>
    <w:p w14:paraId="7B6CF69C" w14:textId="77777777" w:rsidR="00FC415B" w:rsidRPr="00FC415B" w:rsidRDefault="00FC415B" w:rsidP="00910E89">
      <w:pPr>
        <w:pStyle w:val="Heading1"/>
        <w:spacing w:line="276" w:lineRule="auto"/>
      </w:pPr>
      <w:bookmarkStart w:id="0" w:name="_Toc222056981"/>
      <w:r w:rsidRPr="00FC415B">
        <w:t>Executive Summary</w:t>
      </w:r>
      <w:bookmarkEnd w:id="0"/>
    </w:p>
    <w:p w14:paraId="1E3DBAE8" w14:textId="77777777" w:rsidR="00FC415B" w:rsidRPr="00FC415B" w:rsidRDefault="00FC415B" w:rsidP="00910E89">
      <w:pPr>
        <w:spacing w:before="120" w:line="276" w:lineRule="auto"/>
      </w:pPr>
      <w:r w:rsidRPr="00FC415B">
        <w:t>This briefing note summarises key findings from a three</w:t>
      </w:r>
      <w:r w:rsidRPr="00FC415B">
        <w:noBreakHyphen/>
        <w:t>year analysis of global energy market dynamics across six regions and seven energy types. The dataset contains 504 observations and highlights significant trends in pricing, production, consumption, renewable adoption, and market balance. The analysis identifies regional disparities, evolving renewable contributions, and the influence of supply</w:t>
      </w:r>
      <w:r w:rsidRPr="00FC415B">
        <w:noBreakHyphen/>
        <w:t>demand imbalances and shock events on market volatility. These insights support strategic planning, risk management, and policy development.</w:t>
      </w:r>
    </w:p>
    <w:p w14:paraId="4138100D" w14:textId="77777777" w:rsidR="00FC415B" w:rsidRPr="00FC415B" w:rsidRDefault="00FC415B" w:rsidP="00910E89">
      <w:pPr>
        <w:pStyle w:val="Heading1"/>
        <w:spacing w:line="276" w:lineRule="auto"/>
      </w:pPr>
      <w:bookmarkStart w:id="1" w:name="_Toc222056982"/>
      <w:r w:rsidRPr="00FC415B">
        <w:t>Purpose</w:t>
      </w:r>
      <w:bookmarkEnd w:id="1"/>
    </w:p>
    <w:p w14:paraId="1ECC9E4A" w14:textId="77777777" w:rsidR="00FC415B" w:rsidRPr="00FC415B" w:rsidRDefault="00FC415B" w:rsidP="00910E89">
      <w:pPr>
        <w:spacing w:before="120" w:line="276" w:lineRule="auto"/>
      </w:pPr>
      <w:r w:rsidRPr="00FC415B">
        <w:t>To provide decision</w:t>
      </w:r>
      <w:r w:rsidRPr="00FC415B">
        <w:noBreakHyphen/>
        <w:t>makers with a concise overview of energy market behaviour and highlight actionable insights derived from the dataset.</w:t>
      </w:r>
    </w:p>
    <w:p w14:paraId="2AE12F03" w14:textId="77777777" w:rsidR="00FC415B" w:rsidRPr="00FC415B" w:rsidRDefault="00FC415B" w:rsidP="00910E89">
      <w:pPr>
        <w:pStyle w:val="Heading1"/>
        <w:spacing w:line="276" w:lineRule="auto"/>
      </w:pPr>
      <w:bookmarkStart w:id="2" w:name="_Toc222056983"/>
      <w:r w:rsidRPr="00FC415B">
        <w:t>Dataset Overview</w:t>
      </w:r>
      <w:bookmarkEnd w:id="2"/>
    </w:p>
    <w:p w14:paraId="1BD54D6D" w14:textId="77777777" w:rsidR="00FC415B" w:rsidRPr="00FC415B" w:rsidRDefault="00FC415B" w:rsidP="00910E89">
      <w:pPr>
        <w:spacing w:before="120" w:line="276" w:lineRule="auto"/>
      </w:pPr>
      <w:r w:rsidRPr="00FC415B">
        <w:t>The dataset includes:</w:t>
      </w:r>
    </w:p>
    <w:p w14:paraId="6107FF13" w14:textId="77777777" w:rsidR="00FC415B" w:rsidRPr="00FC415B" w:rsidRDefault="00FC415B" w:rsidP="00910E89">
      <w:pPr>
        <w:numPr>
          <w:ilvl w:val="0"/>
          <w:numId w:val="2"/>
        </w:numPr>
        <w:spacing w:before="120" w:line="276" w:lineRule="auto"/>
      </w:pPr>
      <w:r w:rsidRPr="00FC415B">
        <w:rPr>
          <w:b/>
          <w:bCs/>
        </w:rPr>
        <w:t>12 quarters</w:t>
      </w:r>
      <w:r w:rsidRPr="00FC415B">
        <w:t xml:space="preserve"> (3 years)</w:t>
      </w:r>
    </w:p>
    <w:p w14:paraId="0AD169C0" w14:textId="77777777" w:rsidR="00FC415B" w:rsidRPr="00FC415B" w:rsidRDefault="00FC415B" w:rsidP="00910E89">
      <w:pPr>
        <w:numPr>
          <w:ilvl w:val="0"/>
          <w:numId w:val="2"/>
        </w:numPr>
        <w:spacing w:before="120" w:line="276" w:lineRule="auto"/>
      </w:pPr>
      <w:r w:rsidRPr="00FC415B">
        <w:rPr>
          <w:b/>
          <w:bCs/>
        </w:rPr>
        <w:t>6 regions</w:t>
      </w:r>
    </w:p>
    <w:p w14:paraId="3284D473" w14:textId="77777777" w:rsidR="008C69B6" w:rsidRDefault="00FC415B" w:rsidP="00910E89">
      <w:pPr>
        <w:numPr>
          <w:ilvl w:val="0"/>
          <w:numId w:val="2"/>
        </w:numPr>
        <w:spacing w:before="120" w:line="276" w:lineRule="auto"/>
      </w:pPr>
      <w:r w:rsidRPr="00FC415B">
        <w:rPr>
          <w:b/>
          <w:bCs/>
        </w:rPr>
        <w:t>7 energy type</w:t>
      </w:r>
      <w:r w:rsidR="001268CE">
        <w:rPr>
          <w:b/>
          <w:bCs/>
        </w:rPr>
        <w:t>s</w:t>
      </w:r>
    </w:p>
    <w:p w14:paraId="2494D8DC" w14:textId="4CD8C184" w:rsidR="008C69B6" w:rsidRPr="008C69B6" w:rsidRDefault="008C69B6" w:rsidP="00910E89">
      <w:pPr>
        <w:numPr>
          <w:ilvl w:val="0"/>
          <w:numId w:val="2"/>
        </w:numPr>
        <w:spacing w:before="120" w:line="276" w:lineRule="auto"/>
      </w:pPr>
      <w:r w:rsidRPr="008C69B6">
        <w:t xml:space="preserve"> </w:t>
      </w:r>
      <w:r w:rsidRPr="008C69B6">
        <w:rPr>
          <w:b/>
          <w:bCs/>
        </w:rPr>
        <w:t>504 total observations</w:t>
      </w:r>
    </w:p>
    <w:p w14:paraId="1C4DC69D" w14:textId="77777777" w:rsidR="003C75FA" w:rsidRDefault="008C69B6" w:rsidP="00910E89">
      <w:pPr>
        <w:numPr>
          <w:ilvl w:val="0"/>
          <w:numId w:val="3"/>
        </w:numPr>
        <w:spacing w:before="120" w:line="276" w:lineRule="auto"/>
      </w:pPr>
      <w:r w:rsidRPr="008C69B6">
        <w:rPr>
          <w:b/>
          <w:bCs/>
        </w:rPr>
        <w:t>17 variables</w:t>
      </w:r>
      <w:r w:rsidRPr="008C69B6">
        <w:t>, including:</w:t>
      </w:r>
      <w:r w:rsidR="00AA47D1">
        <w:t xml:space="preserve"> </w:t>
      </w:r>
    </w:p>
    <w:p w14:paraId="6E8C6611" w14:textId="77777777" w:rsidR="00EA0D96" w:rsidRPr="00BC19BB" w:rsidRDefault="00EA0D96" w:rsidP="00910E89">
      <w:pPr>
        <w:numPr>
          <w:ilvl w:val="1"/>
          <w:numId w:val="3"/>
        </w:numPr>
        <w:spacing w:before="120" w:line="276" w:lineRule="auto"/>
      </w:pPr>
      <w:r w:rsidRPr="00BC19BB">
        <w:t>Prices</w:t>
      </w:r>
    </w:p>
    <w:p w14:paraId="27F13E4A" w14:textId="77777777" w:rsidR="003E659E" w:rsidRPr="00BC19BB" w:rsidRDefault="003E659E" w:rsidP="00910E89">
      <w:pPr>
        <w:numPr>
          <w:ilvl w:val="1"/>
          <w:numId w:val="3"/>
        </w:numPr>
        <w:spacing w:before="120" w:line="276" w:lineRule="auto"/>
      </w:pPr>
      <w:r w:rsidRPr="00BC19BB">
        <w:t>Production and consumption</w:t>
      </w:r>
    </w:p>
    <w:p w14:paraId="54881518" w14:textId="77777777" w:rsidR="00BC19BB" w:rsidRPr="00BC19BB" w:rsidRDefault="00BC19BB" w:rsidP="00910E89">
      <w:pPr>
        <w:numPr>
          <w:ilvl w:val="1"/>
          <w:numId w:val="3"/>
        </w:numPr>
        <w:spacing w:before="120" w:line="276" w:lineRule="auto"/>
      </w:pPr>
      <w:r w:rsidRPr="00BC19BB">
        <w:t>Imports and exports</w:t>
      </w:r>
    </w:p>
    <w:p w14:paraId="6EFBB94E" w14:textId="77777777" w:rsidR="00BC19BB" w:rsidRDefault="00BC19BB" w:rsidP="00910E89">
      <w:pPr>
        <w:numPr>
          <w:ilvl w:val="1"/>
          <w:numId w:val="3"/>
        </w:numPr>
        <w:spacing w:before="120" w:line="276" w:lineRule="auto"/>
      </w:pPr>
      <w:r w:rsidRPr="00BC19BB">
        <w:t>Storage levels</w:t>
      </w:r>
    </w:p>
    <w:p w14:paraId="6EE613D7" w14:textId="77777777" w:rsidR="00CF648D" w:rsidRDefault="00CF648D" w:rsidP="00910E89">
      <w:pPr>
        <w:numPr>
          <w:ilvl w:val="1"/>
          <w:numId w:val="3"/>
        </w:numPr>
        <w:spacing w:before="120" w:line="276" w:lineRule="auto"/>
      </w:pPr>
      <w:r>
        <w:t>Renewable share</w:t>
      </w:r>
    </w:p>
    <w:p w14:paraId="689CBFE4" w14:textId="77777777" w:rsidR="00595234" w:rsidRDefault="00CF648D" w:rsidP="00910E89">
      <w:pPr>
        <w:numPr>
          <w:ilvl w:val="1"/>
          <w:numId w:val="3"/>
        </w:numPr>
        <w:spacing w:before="120" w:line="276" w:lineRule="auto"/>
      </w:pPr>
      <w:r>
        <w:t>Sup</w:t>
      </w:r>
      <w:r w:rsidR="00595234">
        <w:t>ply-demand gap</w:t>
      </w:r>
    </w:p>
    <w:p w14:paraId="59B61BFB" w14:textId="77777777" w:rsidR="00595234" w:rsidRDefault="00595234" w:rsidP="00910E89">
      <w:pPr>
        <w:numPr>
          <w:ilvl w:val="1"/>
          <w:numId w:val="3"/>
        </w:numPr>
        <w:spacing w:before="120" w:line="276" w:lineRule="auto"/>
      </w:pPr>
      <w:r>
        <w:t>Volatility index</w:t>
      </w:r>
    </w:p>
    <w:p w14:paraId="499508A1" w14:textId="77777777" w:rsidR="00595234" w:rsidRDefault="00595234" w:rsidP="00910E89">
      <w:pPr>
        <w:numPr>
          <w:ilvl w:val="1"/>
          <w:numId w:val="3"/>
        </w:numPr>
        <w:spacing w:before="120" w:line="276" w:lineRule="auto"/>
      </w:pPr>
      <w:r>
        <w:t>Market balance</w:t>
      </w:r>
    </w:p>
    <w:p w14:paraId="0FF9FFFA" w14:textId="77777777" w:rsidR="006F7FAD" w:rsidRDefault="00524CCF" w:rsidP="00910E89">
      <w:pPr>
        <w:numPr>
          <w:ilvl w:val="1"/>
          <w:numId w:val="3"/>
        </w:numPr>
        <w:spacing w:before="120" w:line="276" w:lineRule="auto"/>
      </w:pPr>
      <w:r>
        <w:t>Shock indicators (geopoliti</w:t>
      </w:r>
      <w:r w:rsidR="00ED241B">
        <w:t>cal, weather, regulatory,</w:t>
      </w:r>
      <w:r w:rsidR="005B7E46">
        <w:t xml:space="preserve"> supply chai</w:t>
      </w:r>
      <w:r w:rsidR="00993B53">
        <w:t>n)</w:t>
      </w:r>
      <w:r w:rsidR="006F7FAD">
        <w:t xml:space="preserve">   </w:t>
      </w:r>
    </w:p>
    <w:p w14:paraId="77C003FA" w14:textId="6A09AB35" w:rsidR="008C69B6" w:rsidRPr="008C69B6" w:rsidRDefault="008C69B6" w:rsidP="00910E89">
      <w:pPr>
        <w:spacing w:before="120" w:line="276" w:lineRule="auto"/>
      </w:pPr>
      <w:r w:rsidRPr="008C69B6">
        <w:lastRenderedPageBreak/>
        <w:t>The dataset was generated programmatically to simulate realistic market behaviour, including seasonal variation, regional differences, and occasional shock events.</w:t>
      </w:r>
    </w:p>
    <w:p w14:paraId="1C657779" w14:textId="77777777" w:rsidR="008C69B6" w:rsidRPr="008C69B6" w:rsidRDefault="008C69B6" w:rsidP="00910E89">
      <w:pPr>
        <w:pStyle w:val="Heading1"/>
        <w:spacing w:line="276" w:lineRule="auto"/>
      </w:pPr>
      <w:bookmarkStart w:id="3" w:name="_Toc222056984"/>
      <w:r w:rsidRPr="008C69B6">
        <w:t>Key Insights</w:t>
      </w:r>
      <w:bookmarkEnd w:id="3"/>
    </w:p>
    <w:p w14:paraId="7BA514ED" w14:textId="15406283" w:rsidR="008C69B6" w:rsidRPr="008C69B6" w:rsidRDefault="007E6EC2" w:rsidP="00910E89">
      <w:pPr>
        <w:pStyle w:val="Heading2"/>
        <w:spacing w:line="276" w:lineRule="auto"/>
      </w:pPr>
      <w:r>
        <w:t>1</w:t>
      </w:r>
      <w:r w:rsidR="008C69B6" w:rsidRPr="008C69B6">
        <w:t>. Price Behaviour Differs Significantly by Energy Type</w:t>
      </w:r>
    </w:p>
    <w:p w14:paraId="0720BC3E" w14:textId="77777777" w:rsidR="008C69B6" w:rsidRPr="008C69B6" w:rsidRDefault="008C69B6" w:rsidP="00910E89">
      <w:pPr>
        <w:numPr>
          <w:ilvl w:val="0"/>
          <w:numId w:val="5"/>
        </w:numPr>
        <w:spacing w:before="120" w:line="276" w:lineRule="auto"/>
      </w:pPr>
      <w:r w:rsidRPr="008C69B6">
        <w:t>Oil and LNG exhibit the highest volatility, reflecting sensitivity to global supply chains and geopolitical conditions.</w:t>
      </w:r>
    </w:p>
    <w:p w14:paraId="0DE2389F" w14:textId="77777777" w:rsidR="008C69B6" w:rsidRPr="008C69B6" w:rsidRDefault="008C69B6" w:rsidP="00910E89">
      <w:pPr>
        <w:numPr>
          <w:ilvl w:val="0"/>
          <w:numId w:val="5"/>
        </w:numPr>
        <w:spacing w:before="120" w:line="276" w:lineRule="auto"/>
      </w:pPr>
      <w:r w:rsidRPr="008C69B6">
        <w:t>Solar, wind, and hydro remain comparatively stable, consistent with renewable energy’s lower exposure to global commodity shocks.</w:t>
      </w:r>
    </w:p>
    <w:p w14:paraId="3AA2D1AD" w14:textId="77777777" w:rsidR="008C69B6" w:rsidRPr="008C69B6" w:rsidRDefault="008C69B6" w:rsidP="00910E89">
      <w:pPr>
        <w:numPr>
          <w:ilvl w:val="0"/>
          <w:numId w:val="5"/>
        </w:numPr>
        <w:spacing w:before="120" w:line="276" w:lineRule="auto"/>
      </w:pPr>
      <w:r w:rsidRPr="008C69B6">
        <w:t>Coal shows moderate fluctuations influenced by regulatory pressures and regional demand.</w:t>
      </w:r>
    </w:p>
    <w:p w14:paraId="1352B03E" w14:textId="1AD713E2" w:rsidR="008C69B6" w:rsidRPr="008C69B6" w:rsidRDefault="008C69B6" w:rsidP="00910E89">
      <w:pPr>
        <w:pStyle w:val="Heading2"/>
        <w:spacing w:line="276" w:lineRule="auto"/>
      </w:pPr>
      <w:r w:rsidRPr="008C69B6">
        <w:t>2. Strong Regional Variation</w:t>
      </w:r>
    </w:p>
    <w:p w14:paraId="663FFE8E" w14:textId="77777777" w:rsidR="008C69B6" w:rsidRPr="008C69B6" w:rsidRDefault="008C69B6" w:rsidP="00910E89">
      <w:pPr>
        <w:numPr>
          <w:ilvl w:val="0"/>
          <w:numId w:val="6"/>
        </w:numPr>
        <w:spacing w:before="120" w:line="276" w:lineRule="auto"/>
      </w:pPr>
      <w:r w:rsidRPr="008C69B6">
        <w:rPr>
          <w:b/>
          <w:bCs/>
        </w:rPr>
        <w:t>North America and Europe</w:t>
      </w:r>
      <w:r w:rsidRPr="008C69B6">
        <w:t xml:space="preserve"> show higher renewable shares and more stable market balance.</w:t>
      </w:r>
    </w:p>
    <w:p w14:paraId="40158B17" w14:textId="77777777" w:rsidR="008C69B6" w:rsidRPr="008C69B6" w:rsidRDefault="008C69B6" w:rsidP="00910E89">
      <w:pPr>
        <w:numPr>
          <w:ilvl w:val="0"/>
          <w:numId w:val="6"/>
        </w:numPr>
        <w:spacing w:before="120" w:line="276" w:lineRule="auto"/>
      </w:pPr>
      <w:r w:rsidRPr="008C69B6">
        <w:rPr>
          <w:b/>
          <w:bCs/>
        </w:rPr>
        <w:t>Asia</w:t>
      </w:r>
      <w:r w:rsidRPr="008C69B6">
        <w:rPr>
          <w:b/>
          <w:bCs/>
        </w:rPr>
        <w:noBreakHyphen/>
        <w:t>Pacific</w:t>
      </w:r>
      <w:r w:rsidRPr="008C69B6">
        <w:t xml:space="preserve"> records the highest production and consumption volumes, driven by industrial demand.</w:t>
      </w:r>
    </w:p>
    <w:p w14:paraId="1585D4B7" w14:textId="77777777" w:rsidR="008C69B6" w:rsidRPr="008C69B6" w:rsidRDefault="008C69B6" w:rsidP="00910E89">
      <w:pPr>
        <w:numPr>
          <w:ilvl w:val="0"/>
          <w:numId w:val="6"/>
        </w:numPr>
        <w:spacing w:before="120" w:line="276" w:lineRule="auto"/>
      </w:pPr>
      <w:r w:rsidRPr="008C69B6">
        <w:rPr>
          <w:b/>
          <w:bCs/>
        </w:rPr>
        <w:t>Middle East</w:t>
      </w:r>
      <w:r w:rsidRPr="008C69B6">
        <w:t xml:space="preserve"> demonstrates strong export performance, particularly for oil and gas.</w:t>
      </w:r>
    </w:p>
    <w:p w14:paraId="4A3E1E69" w14:textId="77777777" w:rsidR="008C69B6" w:rsidRPr="008C69B6" w:rsidRDefault="008C69B6" w:rsidP="00910E89">
      <w:pPr>
        <w:numPr>
          <w:ilvl w:val="0"/>
          <w:numId w:val="6"/>
        </w:numPr>
        <w:spacing w:before="120" w:line="276" w:lineRule="auto"/>
      </w:pPr>
      <w:r w:rsidRPr="008C69B6">
        <w:rPr>
          <w:b/>
          <w:bCs/>
        </w:rPr>
        <w:t>Africa and Latin America</w:t>
      </w:r>
      <w:r w:rsidRPr="008C69B6">
        <w:t xml:space="preserve"> show greater variability in storage levels and supply</w:t>
      </w:r>
      <w:r w:rsidRPr="008C69B6">
        <w:noBreakHyphen/>
        <w:t>demand gaps.</w:t>
      </w:r>
    </w:p>
    <w:p w14:paraId="4C21893F" w14:textId="6D0B5C59" w:rsidR="008C69B6" w:rsidRPr="008C69B6" w:rsidRDefault="008C69B6" w:rsidP="00910E89">
      <w:pPr>
        <w:pStyle w:val="Heading2"/>
        <w:spacing w:line="276" w:lineRule="auto"/>
      </w:pPr>
      <w:r w:rsidRPr="008C69B6">
        <w:t>3. Supply–Demand Gaps Influence Market Stability</w:t>
      </w:r>
    </w:p>
    <w:p w14:paraId="3D9B0D54" w14:textId="77777777" w:rsidR="008C69B6" w:rsidRPr="008C69B6" w:rsidRDefault="008C69B6" w:rsidP="00910E89">
      <w:pPr>
        <w:numPr>
          <w:ilvl w:val="0"/>
          <w:numId w:val="7"/>
        </w:numPr>
        <w:spacing w:before="120" w:line="276" w:lineRule="auto"/>
      </w:pPr>
      <w:r w:rsidRPr="008C69B6">
        <w:t>Negative gaps (consumption &gt; production) correlate with higher volatility and weaker market balance.</w:t>
      </w:r>
    </w:p>
    <w:p w14:paraId="005B2863" w14:textId="77777777" w:rsidR="008C69B6" w:rsidRPr="008C69B6" w:rsidRDefault="008C69B6" w:rsidP="00910E89">
      <w:pPr>
        <w:numPr>
          <w:ilvl w:val="0"/>
          <w:numId w:val="7"/>
        </w:numPr>
        <w:spacing w:before="120" w:line="276" w:lineRule="auto"/>
      </w:pPr>
      <w:r w:rsidRPr="008C69B6">
        <w:t>Positive gaps (production &gt; consumption) align with lower volatility and stronger balance.</w:t>
      </w:r>
    </w:p>
    <w:p w14:paraId="4428FB69" w14:textId="01B54EDD" w:rsidR="008C69B6" w:rsidRPr="008C69B6" w:rsidRDefault="008C69B6" w:rsidP="00910E89">
      <w:pPr>
        <w:pStyle w:val="Heading2"/>
        <w:spacing w:line="276" w:lineRule="auto"/>
      </w:pPr>
      <w:r w:rsidRPr="008C69B6">
        <w:t>4. Shock Events Affect Market Conditions</w:t>
      </w:r>
    </w:p>
    <w:p w14:paraId="7341D3BE" w14:textId="77777777" w:rsidR="008C69B6" w:rsidRPr="008C69B6" w:rsidRDefault="008C69B6" w:rsidP="00910E89">
      <w:pPr>
        <w:spacing w:before="120" w:line="276" w:lineRule="auto"/>
      </w:pPr>
      <w:r w:rsidRPr="008C69B6">
        <w:t>Shock indicators, while randomly distributed, often coincide with:</w:t>
      </w:r>
    </w:p>
    <w:p w14:paraId="3F651E21" w14:textId="77777777" w:rsidR="008C69B6" w:rsidRPr="008C69B6" w:rsidRDefault="008C69B6" w:rsidP="00910E89">
      <w:pPr>
        <w:numPr>
          <w:ilvl w:val="0"/>
          <w:numId w:val="8"/>
        </w:numPr>
        <w:spacing w:before="120" w:line="276" w:lineRule="auto"/>
      </w:pPr>
      <w:r w:rsidRPr="008C69B6">
        <w:t>Increased volatility</w:t>
      </w:r>
    </w:p>
    <w:p w14:paraId="2541A671" w14:textId="77777777" w:rsidR="008C69B6" w:rsidRPr="008C69B6" w:rsidRDefault="008C69B6" w:rsidP="00910E89">
      <w:pPr>
        <w:numPr>
          <w:ilvl w:val="0"/>
          <w:numId w:val="8"/>
        </w:numPr>
        <w:spacing w:before="120" w:line="276" w:lineRule="auto"/>
      </w:pPr>
      <w:r w:rsidRPr="008C69B6">
        <w:t>Higher imports</w:t>
      </w:r>
    </w:p>
    <w:p w14:paraId="629AF758" w14:textId="77777777" w:rsidR="008C69B6" w:rsidRPr="008C69B6" w:rsidRDefault="008C69B6" w:rsidP="00910E89">
      <w:pPr>
        <w:numPr>
          <w:ilvl w:val="0"/>
          <w:numId w:val="8"/>
        </w:numPr>
        <w:spacing w:before="120" w:line="276" w:lineRule="auto"/>
      </w:pPr>
      <w:r w:rsidRPr="008C69B6">
        <w:t>Lower market balance</w:t>
      </w:r>
    </w:p>
    <w:p w14:paraId="6E0FD0F2" w14:textId="77777777" w:rsidR="008C69B6" w:rsidRPr="008C69B6" w:rsidRDefault="008C69B6" w:rsidP="00910E89">
      <w:pPr>
        <w:numPr>
          <w:ilvl w:val="0"/>
          <w:numId w:val="8"/>
        </w:numPr>
        <w:spacing w:before="120" w:line="276" w:lineRule="auto"/>
      </w:pPr>
      <w:r w:rsidRPr="008C69B6">
        <w:t>Price spikes in fossil fuels</w:t>
      </w:r>
    </w:p>
    <w:p w14:paraId="6FCFB5EB" w14:textId="77777777" w:rsidR="008C69B6" w:rsidRPr="008C69B6" w:rsidRDefault="008C69B6" w:rsidP="00910E89">
      <w:pPr>
        <w:spacing w:before="120" w:line="276" w:lineRule="auto"/>
      </w:pPr>
      <w:r w:rsidRPr="008C69B6">
        <w:lastRenderedPageBreak/>
        <w:t>This mirrors real</w:t>
      </w:r>
      <w:r w:rsidRPr="008C69B6">
        <w:noBreakHyphen/>
        <w:t>world disruptions caused by geopolitical tensions, extreme weather, and regulatory changes.</w:t>
      </w:r>
    </w:p>
    <w:p w14:paraId="0E82E8B1" w14:textId="2D82C178" w:rsidR="008C69B6" w:rsidRPr="008C69B6" w:rsidRDefault="008C69B6" w:rsidP="00910E89">
      <w:pPr>
        <w:pStyle w:val="Heading2"/>
        <w:spacing w:line="276" w:lineRule="auto"/>
      </w:pPr>
      <w:r w:rsidRPr="008C69B6">
        <w:t>5. Renewable Share Shows Gradual Growth</w:t>
      </w:r>
    </w:p>
    <w:p w14:paraId="4F258C91" w14:textId="77777777" w:rsidR="008C69B6" w:rsidRPr="008C69B6" w:rsidRDefault="008C69B6" w:rsidP="00910E89">
      <w:pPr>
        <w:spacing w:before="120" w:line="276" w:lineRule="auto"/>
      </w:pPr>
      <w:r w:rsidRPr="008C69B6">
        <w:t>Across all regions, renewable share values trend upward over the three</w:t>
      </w:r>
      <w:r w:rsidRPr="008C69B6">
        <w:noBreakHyphen/>
        <w:t>year period, suggesting:</w:t>
      </w:r>
    </w:p>
    <w:p w14:paraId="6E8E6E57" w14:textId="77777777" w:rsidR="008C69B6" w:rsidRPr="008C69B6" w:rsidRDefault="008C69B6" w:rsidP="00910E89">
      <w:pPr>
        <w:numPr>
          <w:ilvl w:val="0"/>
          <w:numId w:val="9"/>
        </w:numPr>
        <w:spacing w:before="120" w:line="276" w:lineRule="auto"/>
      </w:pPr>
      <w:r w:rsidRPr="008C69B6">
        <w:t>Increased investment</w:t>
      </w:r>
    </w:p>
    <w:p w14:paraId="692BED60" w14:textId="77777777" w:rsidR="008C69B6" w:rsidRPr="008C69B6" w:rsidRDefault="008C69B6" w:rsidP="00910E89">
      <w:pPr>
        <w:numPr>
          <w:ilvl w:val="0"/>
          <w:numId w:val="9"/>
        </w:numPr>
        <w:spacing w:before="120" w:line="276" w:lineRule="auto"/>
      </w:pPr>
      <w:r w:rsidRPr="008C69B6">
        <w:t>Policy influence</w:t>
      </w:r>
    </w:p>
    <w:p w14:paraId="553E59C2" w14:textId="77777777" w:rsidR="008C69B6" w:rsidRPr="008C69B6" w:rsidRDefault="008C69B6" w:rsidP="00910E89">
      <w:pPr>
        <w:numPr>
          <w:ilvl w:val="0"/>
          <w:numId w:val="9"/>
        </w:numPr>
        <w:spacing w:before="120" w:line="276" w:lineRule="auto"/>
      </w:pPr>
      <w:r w:rsidRPr="008C69B6">
        <w:t>Improved storage and grid integration</w:t>
      </w:r>
    </w:p>
    <w:p w14:paraId="5406582B" w14:textId="77777777" w:rsidR="008C69B6" w:rsidRPr="008C69B6" w:rsidRDefault="008C69B6" w:rsidP="00910E89">
      <w:pPr>
        <w:pStyle w:val="Heading1"/>
        <w:spacing w:line="276" w:lineRule="auto"/>
      </w:pPr>
      <w:bookmarkStart w:id="4" w:name="_Toc222056985"/>
      <w:r w:rsidRPr="008C69B6">
        <w:t>Implications for Decision</w:t>
      </w:r>
      <w:r w:rsidRPr="008C69B6">
        <w:noBreakHyphen/>
        <w:t>Makers</w:t>
      </w:r>
      <w:bookmarkEnd w:id="4"/>
    </w:p>
    <w:p w14:paraId="12714AA8" w14:textId="77777777" w:rsidR="008C69B6" w:rsidRPr="008C69B6" w:rsidRDefault="008C69B6" w:rsidP="00910E89">
      <w:pPr>
        <w:numPr>
          <w:ilvl w:val="0"/>
          <w:numId w:val="10"/>
        </w:numPr>
        <w:spacing w:before="120" w:line="276" w:lineRule="auto"/>
      </w:pPr>
      <w:r w:rsidRPr="008C69B6">
        <w:t>Regions with persistent supply</w:t>
      </w:r>
      <w:r w:rsidRPr="008C69B6">
        <w:noBreakHyphen/>
        <w:t>demand gaps may face long</w:t>
      </w:r>
      <w:r w:rsidRPr="008C69B6">
        <w:noBreakHyphen/>
        <w:t>term price instability.</w:t>
      </w:r>
    </w:p>
    <w:p w14:paraId="1F49CB20" w14:textId="77777777" w:rsidR="008C69B6" w:rsidRPr="008C69B6" w:rsidRDefault="008C69B6" w:rsidP="00910E89">
      <w:pPr>
        <w:numPr>
          <w:ilvl w:val="0"/>
          <w:numId w:val="10"/>
        </w:numPr>
        <w:spacing w:before="120" w:line="276" w:lineRule="auto"/>
      </w:pPr>
      <w:r w:rsidRPr="008C69B6">
        <w:t>High</w:t>
      </w:r>
      <w:r w:rsidRPr="008C69B6">
        <w:noBreakHyphen/>
        <w:t>volatility energy types require stronger risk</w:t>
      </w:r>
      <w:r w:rsidRPr="008C69B6">
        <w:noBreakHyphen/>
        <w:t>mitigation strategies.</w:t>
      </w:r>
    </w:p>
    <w:p w14:paraId="6D025806" w14:textId="77777777" w:rsidR="008C69B6" w:rsidRPr="008C69B6" w:rsidRDefault="008C69B6" w:rsidP="00910E89">
      <w:pPr>
        <w:numPr>
          <w:ilvl w:val="0"/>
          <w:numId w:val="10"/>
        </w:numPr>
        <w:spacing w:before="120" w:line="276" w:lineRule="auto"/>
      </w:pPr>
      <w:r w:rsidRPr="008C69B6">
        <w:t>Renewable expansion is reducing volatility but requires sustained investment.</w:t>
      </w:r>
    </w:p>
    <w:p w14:paraId="0DF7D060" w14:textId="77777777" w:rsidR="008C69B6" w:rsidRPr="008C69B6" w:rsidRDefault="008C69B6" w:rsidP="00910E89">
      <w:pPr>
        <w:numPr>
          <w:ilvl w:val="0"/>
          <w:numId w:val="10"/>
        </w:numPr>
        <w:spacing w:before="120" w:line="276" w:lineRule="auto"/>
      </w:pPr>
      <w:r w:rsidRPr="008C69B6">
        <w:t>Shock</w:t>
      </w:r>
      <w:r w:rsidRPr="008C69B6">
        <w:noBreakHyphen/>
        <w:t>prone regions need contingency planning and diversified energy portfolios.</w:t>
      </w:r>
    </w:p>
    <w:p w14:paraId="77019F74" w14:textId="77777777" w:rsidR="008C69B6" w:rsidRPr="008C69B6" w:rsidRDefault="008C69B6" w:rsidP="00910E89">
      <w:pPr>
        <w:pStyle w:val="Heading1"/>
        <w:spacing w:line="276" w:lineRule="auto"/>
      </w:pPr>
      <w:bookmarkStart w:id="5" w:name="_Toc222056986"/>
      <w:r w:rsidRPr="008C69B6">
        <w:t>Recommendations</w:t>
      </w:r>
      <w:bookmarkEnd w:id="5"/>
    </w:p>
    <w:p w14:paraId="144F2845" w14:textId="77777777" w:rsidR="008C69B6" w:rsidRPr="008C69B6" w:rsidRDefault="008C69B6" w:rsidP="00910E89">
      <w:pPr>
        <w:spacing w:before="120" w:line="276" w:lineRule="auto"/>
      </w:pPr>
      <w:r w:rsidRPr="008C69B6">
        <w:rPr>
          <w:b/>
          <w:bCs/>
        </w:rPr>
        <w:t>1. Increase Renewable Investment</w:t>
      </w:r>
    </w:p>
    <w:p w14:paraId="3BC88DBF" w14:textId="77777777" w:rsidR="008C69B6" w:rsidRPr="008C69B6" w:rsidRDefault="008C69B6" w:rsidP="00910E89">
      <w:pPr>
        <w:spacing w:before="120" w:line="276" w:lineRule="auto"/>
      </w:pPr>
      <w:r w:rsidRPr="008C69B6">
        <w:t>Regions with low renewable share should prioritise solar, wind, and hydro to stabilise long</w:t>
      </w:r>
      <w:r w:rsidRPr="008C69B6">
        <w:noBreakHyphen/>
        <w:t>term pricing.</w:t>
      </w:r>
    </w:p>
    <w:p w14:paraId="17F2B873" w14:textId="77777777" w:rsidR="008C69B6" w:rsidRPr="008C69B6" w:rsidRDefault="008C69B6" w:rsidP="00910E89">
      <w:pPr>
        <w:spacing w:before="120" w:line="276" w:lineRule="auto"/>
      </w:pPr>
      <w:r w:rsidRPr="008C69B6">
        <w:rPr>
          <w:b/>
          <w:bCs/>
        </w:rPr>
        <w:t>2. Strengthen Storage Capacity</w:t>
      </w:r>
    </w:p>
    <w:p w14:paraId="559AC202" w14:textId="77777777" w:rsidR="008C69B6" w:rsidRPr="008C69B6" w:rsidRDefault="008C69B6" w:rsidP="00910E89">
      <w:pPr>
        <w:spacing w:before="120" w:line="276" w:lineRule="auto"/>
      </w:pPr>
      <w:r w:rsidRPr="008C69B6">
        <w:t>Higher storage levels correlate with reduced volatility and improved market balance.</w:t>
      </w:r>
    </w:p>
    <w:p w14:paraId="2D11A357" w14:textId="77777777" w:rsidR="008C69B6" w:rsidRPr="008C69B6" w:rsidRDefault="008C69B6" w:rsidP="00910E89">
      <w:pPr>
        <w:spacing w:before="120" w:line="276" w:lineRule="auto"/>
      </w:pPr>
      <w:r w:rsidRPr="008C69B6">
        <w:rPr>
          <w:b/>
          <w:bCs/>
        </w:rPr>
        <w:t>3. Diversify Energy Portfolios</w:t>
      </w:r>
    </w:p>
    <w:p w14:paraId="18B40791" w14:textId="77777777" w:rsidR="008C69B6" w:rsidRPr="008C69B6" w:rsidRDefault="008C69B6" w:rsidP="00910E89">
      <w:pPr>
        <w:spacing w:before="120" w:line="276" w:lineRule="auto"/>
      </w:pPr>
      <w:r w:rsidRPr="008C69B6">
        <w:t>Reducing reliance on a single energy type lowers vulnerability to shocks.</w:t>
      </w:r>
    </w:p>
    <w:p w14:paraId="4D92F9AD" w14:textId="77777777" w:rsidR="008C69B6" w:rsidRPr="008C69B6" w:rsidRDefault="008C69B6" w:rsidP="00910E89">
      <w:pPr>
        <w:spacing w:before="120" w:line="276" w:lineRule="auto"/>
      </w:pPr>
      <w:r w:rsidRPr="008C69B6">
        <w:rPr>
          <w:b/>
          <w:bCs/>
        </w:rPr>
        <w:t>4. Enhance Supply Chain Resilience</w:t>
      </w:r>
    </w:p>
    <w:p w14:paraId="1A813DF0" w14:textId="77777777" w:rsidR="008C69B6" w:rsidRPr="008C69B6" w:rsidRDefault="008C69B6" w:rsidP="00910E89">
      <w:pPr>
        <w:spacing w:before="120" w:line="276" w:lineRule="auto"/>
      </w:pPr>
      <w:r w:rsidRPr="008C69B6">
        <w:t>Invest in infrastructure, backup supply routes, and strategic reserves to mitigate disruption.</w:t>
      </w:r>
    </w:p>
    <w:p w14:paraId="6B31DCBA" w14:textId="77777777" w:rsidR="008C69B6" w:rsidRPr="008C69B6" w:rsidRDefault="008C69B6" w:rsidP="00910E89">
      <w:pPr>
        <w:spacing w:before="120" w:line="276" w:lineRule="auto"/>
      </w:pPr>
      <w:r w:rsidRPr="008C69B6">
        <w:rPr>
          <w:b/>
          <w:bCs/>
        </w:rPr>
        <w:t>5. Monitor High</w:t>
      </w:r>
      <w:r w:rsidRPr="008C69B6">
        <w:rPr>
          <w:b/>
          <w:bCs/>
        </w:rPr>
        <w:noBreakHyphen/>
        <w:t>Risk Quarters</w:t>
      </w:r>
    </w:p>
    <w:p w14:paraId="72EDC2C7" w14:textId="77777777" w:rsidR="008C69B6" w:rsidRPr="008C69B6" w:rsidRDefault="008C69B6" w:rsidP="00910E89">
      <w:pPr>
        <w:spacing w:before="120" w:line="276" w:lineRule="auto"/>
      </w:pPr>
      <w:r w:rsidRPr="008C69B6">
        <w:t>Quarters with negative supply</w:t>
      </w:r>
      <w:r w:rsidRPr="008C69B6">
        <w:noBreakHyphen/>
        <w:t>demand gaps should trigger early warning mechanisms.</w:t>
      </w:r>
    </w:p>
    <w:p w14:paraId="26564C33" w14:textId="77777777" w:rsidR="008C69B6" w:rsidRPr="008C69B6" w:rsidRDefault="008C69B6" w:rsidP="00910E89">
      <w:pPr>
        <w:pStyle w:val="Heading1"/>
        <w:spacing w:line="276" w:lineRule="auto"/>
      </w:pPr>
      <w:bookmarkStart w:id="6" w:name="_Toc222056987"/>
      <w:r w:rsidRPr="008C69B6">
        <w:lastRenderedPageBreak/>
        <w:t>Limitations</w:t>
      </w:r>
      <w:bookmarkEnd w:id="6"/>
    </w:p>
    <w:p w14:paraId="57B5F666" w14:textId="77777777" w:rsidR="008C69B6" w:rsidRPr="008C69B6" w:rsidRDefault="008C69B6" w:rsidP="00910E89">
      <w:pPr>
        <w:numPr>
          <w:ilvl w:val="0"/>
          <w:numId w:val="11"/>
        </w:numPr>
        <w:spacing w:before="120" w:line="276" w:lineRule="auto"/>
      </w:pPr>
      <w:r w:rsidRPr="008C69B6">
        <w:t>The dataset is synthetic and does not represent real</w:t>
      </w:r>
      <w:r w:rsidRPr="008C69B6">
        <w:noBreakHyphen/>
        <w:t>world market data.</w:t>
      </w:r>
    </w:p>
    <w:p w14:paraId="7ABA97E5" w14:textId="3CAF2BD3" w:rsidR="008C69B6" w:rsidRPr="008C69B6" w:rsidRDefault="008C69B6" w:rsidP="00910E89">
      <w:pPr>
        <w:numPr>
          <w:ilvl w:val="0"/>
          <w:numId w:val="11"/>
        </w:numPr>
        <w:spacing w:before="120" w:line="276" w:lineRule="auto"/>
      </w:pPr>
      <w:r w:rsidRPr="008C69B6">
        <w:t>Shock events are randomly rather than tied to historical events.</w:t>
      </w:r>
    </w:p>
    <w:p w14:paraId="63621B29" w14:textId="77777777" w:rsidR="008C69B6" w:rsidRPr="008C69B6" w:rsidRDefault="008C69B6" w:rsidP="00910E89">
      <w:pPr>
        <w:numPr>
          <w:ilvl w:val="0"/>
          <w:numId w:val="11"/>
        </w:numPr>
        <w:spacing w:before="120" w:line="276" w:lineRule="auto"/>
      </w:pPr>
      <w:r w:rsidRPr="008C69B6">
        <w:t>Long</w:t>
      </w:r>
      <w:r w:rsidRPr="008C69B6">
        <w:noBreakHyphen/>
        <w:t>term structural changes (policy shifts, technological advances) are not modelled.</w:t>
      </w:r>
    </w:p>
    <w:p w14:paraId="45B8CE2F" w14:textId="204B1ADD" w:rsidR="008C69B6" w:rsidRPr="008C69B6" w:rsidRDefault="008C69B6" w:rsidP="00910E89">
      <w:pPr>
        <w:pStyle w:val="Heading1"/>
        <w:spacing w:line="276" w:lineRule="auto"/>
      </w:pPr>
      <w:bookmarkStart w:id="7" w:name="_Toc222056988"/>
      <w:r w:rsidRPr="008C69B6">
        <w:t>Conclusion</w:t>
      </w:r>
      <w:r w:rsidR="00910E89" w:rsidRPr="00910E89">
        <w:t xml:space="preserve"> </w:t>
      </w:r>
      <w:r w:rsidR="00910E89" w:rsidRPr="008C69B6">
        <w:t>assigned</w:t>
      </w:r>
      <w:bookmarkEnd w:id="7"/>
    </w:p>
    <w:p w14:paraId="11642A73" w14:textId="5B9D7702" w:rsidR="001D145B" w:rsidRDefault="008C69B6" w:rsidP="00910E89">
      <w:pPr>
        <w:spacing w:before="120" w:line="276" w:lineRule="auto"/>
      </w:pPr>
      <w:r w:rsidRPr="008C69B6">
        <w:t>This analysis highlights the complex interplay between production, consumption, pricing, and external shocks across global energy markets. The findings support strategic planning and reinforce the importance of renewable investment, supply chain resilience, and balanced energy portfolios. Continued monitoring and analysis will be essential as global energy systems evolve.</w:t>
      </w:r>
    </w:p>
    <w:p w14:paraId="42EB5C05" w14:textId="77777777" w:rsidR="001D145B" w:rsidRDefault="001D145B">
      <w:r>
        <w:br w:type="page"/>
      </w:r>
    </w:p>
    <w:p w14:paraId="2669B6DF" w14:textId="597E9651" w:rsidR="00446AAF" w:rsidRPr="00446AAF" w:rsidRDefault="001D145B" w:rsidP="00910E89">
      <w:pPr>
        <w:pStyle w:val="Heading1"/>
      </w:pPr>
      <w:bookmarkStart w:id="8" w:name="_Toc222056989"/>
      <w:r w:rsidRPr="001D145B">
        <w:lastRenderedPageBreak/>
        <w:t>Analys</w:t>
      </w:r>
      <w:r w:rsidR="00446AAF">
        <w:t>is of Energy Market Trends</w:t>
      </w:r>
      <w:bookmarkEnd w:id="8"/>
    </w:p>
    <w:p w14:paraId="7F046A2B" w14:textId="77777777" w:rsidR="001D145B" w:rsidRPr="001D145B" w:rsidRDefault="001D145B" w:rsidP="00910E89">
      <w:pPr>
        <w:pStyle w:val="Heading2"/>
      </w:pPr>
      <w:r w:rsidRPr="001D145B">
        <w:t>1. Introduction</w:t>
      </w:r>
    </w:p>
    <w:p w14:paraId="6769FE50" w14:textId="77777777" w:rsidR="001D145B" w:rsidRPr="001D145B" w:rsidRDefault="001D145B" w:rsidP="00910E89">
      <w:pPr>
        <w:spacing w:before="120"/>
      </w:pPr>
      <w:r w:rsidRPr="001D145B">
        <w:t>This section provides a detailed analysis of the energy market dataset, focusing on pricing behaviour, regional dynamics, supply–demand patterns, renewable adoption, and the impact of shock events. The analysis combines descriptive statistics, visual interpretation, and narrative insights to highlight meaningful trends across the three</w:t>
      </w:r>
      <w:r w:rsidRPr="001D145B">
        <w:noBreakHyphen/>
        <w:t>year period.</w:t>
      </w:r>
    </w:p>
    <w:p w14:paraId="684E30D5" w14:textId="77777777" w:rsidR="001D145B" w:rsidRPr="001D145B" w:rsidRDefault="001D145B" w:rsidP="00910E89">
      <w:pPr>
        <w:pStyle w:val="Heading2"/>
      </w:pPr>
      <w:r w:rsidRPr="001D145B">
        <w:t>2. Price Trends Across Energy Types</w:t>
      </w:r>
    </w:p>
    <w:p w14:paraId="1AB43931" w14:textId="77777777" w:rsidR="001D145B" w:rsidRPr="001D145B" w:rsidRDefault="001D145B" w:rsidP="00910E89">
      <w:pPr>
        <w:spacing w:before="120"/>
      </w:pPr>
      <w:r w:rsidRPr="001D145B">
        <w:t>Energy prices vary significantly across the seven energy types, reflecting differences in market structure, production costs, and exposure to global volatility.</w:t>
      </w:r>
    </w:p>
    <w:p w14:paraId="0F02D02A" w14:textId="77777777" w:rsidR="001D145B" w:rsidRPr="001D145B" w:rsidRDefault="001D145B" w:rsidP="00910E89">
      <w:pPr>
        <w:spacing w:before="120"/>
      </w:pPr>
      <w:r w:rsidRPr="001D145B">
        <w:rPr>
          <w:b/>
          <w:bCs/>
        </w:rPr>
        <w:t>Key Observations</w:t>
      </w:r>
    </w:p>
    <w:p w14:paraId="79F89A0B" w14:textId="77777777" w:rsidR="001D145B" w:rsidRPr="001D145B" w:rsidRDefault="001D145B" w:rsidP="00910E89">
      <w:pPr>
        <w:numPr>
          <w:ilvl w:val="0"/>
          <w:numId w:val="32"/>
        </w:numPr>
        <w:spacing w:before="120"/>
      </w:pPr>
      <w:r w:rsidRPr="001D145B">
        <w:rPr>
          <w:b/>
          <w:bCs/>
        </w:rPr>
        <w:t>Oil and LNG</w:t>
      </w:r>
      <w:r w:rsidRPr="001D145B">
        <w:t xml:space="preserve"> show the highest price volatility, consistent with their sensitivity to geopolitical events and global supply chains.</w:t>
      </w:r>
    </w:p>
    <w:p w14:paraId="513AA071" w14:textId="77777777" w:rsidR="001D145B" w:rsidRPr="001D145B" w:rsidRDefault="001D145B" w:rsidP="00910E89">
      <w:pPr>
        <w:numPr>
          <w:ilvl w:val="0"/>
          <w:numId w:val="32"/>
        </w:numPr>
        <w:spacing w:before="120"/>
      </w:pPr>
      <w:r w:rsidRPr="001D145B">
        <w:rPr>
          <w:b/>
          <w:bCs/>
        </w:rPr>
        <w:t>Solar, wind, and hydro</w:t>
      </w:r>
      <w:r w:rsidRPr="001D145B">
        <w:t xml:space="preserve"> exhibit stable pricing, reflecting lower marginal costs and reduced exposure to global commodity markets.</w:t>
      </w:r>
    </w:p>
    <w:p w14:paraId="4E8513C3" w14:textId="40A3D151" w:rsidR="001D145B" w:rsidRDefault="001D145B" w:rsidP="00910E89">
      <w:pPr>
        <w:numPr>
          <w:ilvl w:val="0"/>
          <w:numId w:val="32"/>
        </w:numPr>
        <w:spacing w:before="120"/>
      </w:pPr>
      <w:r w:rsidRPr="001D145B">
        <w:rPr>
          <w:b/>
          <w:bCs/>
        </w:rPr>
        <w:t>Coal</w:t>
      </w:r>
      <w:r w:rsidRPr="001D145B">
        <w:t xml:space="preserve"> demonstrates moderate fluctuations, influenced by regulatory pressures and shifting demand patterns.</w:t>
      </w:r>
    </w:p>
    <w:p w14:paraId="140D4865" w14:textId="77777777" w:rsidR="00AE3DF8" w:rsidRPr="001D145B" w:rsidRDefault="00AE3DF8" w:rsidP="00910E89">
      <w:pPr>
        <w:spacing w:before="120"/>
        <w:ind w:left="360" w:firstLine="0"/>
      </w:pPr>
    </w:p>
    <w:p w14:paraId="27CC94A1" w14:textId="0D2C37F5" w:rsidR="001D145B" w:rsidRDefault="00960C83" w:rsidP="00910E89">
      <w:pPr>
        <w:spacing w:before="120"/>
      </w:pPr>
      <w:r w:rsidRPr="00960C83">
        <w:drawing>
          <wp:inline distT="0" distB="0" distL="0" distR="0" wp14:anchorId="0A51473F" wp14:editId="35C46305">
            <wp:extent cx="5731510" cy="2320925"/>
            <wp:effectExtent l="0" t="0" r="2540" b="3175"/>
            <wp:docPr id="8862041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320925"/>
                    </a:xfrm>
                    <a:prstGeom prst="rect">
                      <a:avLst/>
                    </a:prstGeom>
                    <a:noFill/>
                    <a:ln>
                      <a:noFill/>
                    </a:ln>
                  </pic:spPr>
                </pic:pic>
              </a:graphicData>
            </a:graphic>
          </wp:inline>
        </w:drawing>
      </w:r>
    </w:p>
    <w:p w14:paraId="0673FEEE" w14:textId="77777777" w:rsidR="00960C83" w:rsidRDefault="00960C83" w:rsidP="00910E89">
      <w:pPr>
        <w:spacing w:before="120"/>
      </w:pPr>
    </w:p>
    <w:p w14:paraId="6CF4ECBD" w14:textId="59A626CA" w:rsidR="001D145B" w:rsidRDefault="001D145B" w:rsidP="00273990">
      <w:pPr>
        <w:spacing w:before="120"/>
      </w:pPr>
      <w:r w:rsidRPr="001D145B">
        <w:rPr>
          <w:rStyle w:val="Heading3Char"/>
        </w:rPr>
        <w:t>Figure 1. Price Trends by Energy Type</w:t>
      </w:r>
      <w:r w:rsidR="00B15B4A" w:rsidRPr="00B15B4A">
        <w:br/>
        <w:t>Oil and natural gas exhibit the highest volatility across the three</w:t>
      </w:r>
      <w:r w:rsidR="00B15B4A" w:rsidRPr="00B15B4A">
        <w:noBreakHyphen/>
        <w:t>year period, reflecting sensitivity to geopolitical and supply</w:t>
      </w:r>
      <w:r w:rsidR="00B15B4A" w:rsidRPr="00B15B4A">
        <w:noBreakHyphen/>
        <w:t>chain disruptions. Renewable energy types such as solar, wind, and hydro show stable pricing with minimal fluctuations, consistent with lower marginal costs and reduced exposure to global commodity markets.</w:t>
      </w:r>
    </w:p>
    <w:p w14:paraId="7A8F1820" w14:textId="77777777" w:rsidR="00273990" w:rsidRPr="001D145B" w:rsidRDefault="00273990" w:rsidP="00273990">
      <w:pPr>
        <w:spacing w:before="120"/>
      </w:pPr>
    </w:p>
    <w:p w14:paraId="6E6EAE24" w14:textId="77777777" w:rsidR="001D145B" w:rsidRPr="001D145B" w:rsidRDefault="001D145B" w:rsidP="00910E89">
      <w:pPr>
        <w:pStyle w:val="Heading2"/>
      </w:pPr>
      <w:r w:rsidRPr="001D145B">
        <w:t>3. Regional Production and Consumption Patterns</w:t>
      </w:r>
    </w:p>
    <w:p w14:paraId="271B8A20" w14:textId="77777777" w:rsidR="001D145B" w:rsidRPr="001D145B" w:rsidRDefault="001D145B" w:rsidP="00910E89">
      <w:pPr>
        <w:spacing w:before="120"/>
      </w:pPr>
      <w:r w:rsidRPr="001D145B">
        <w:t>Production and consumption levels differ widely across regions, reflecting economic structure, industrial demand, and resource availability.</w:t>
      </w:r>
    </w:p>
    <w:p w14:paraId="668EA897" w14:textId="77777777" w:rsidR="001D145B" w:rsidRPr="001D145B" w:rsidRDefault="001D145B" w:rsidP="00910E89">
      <w:pPr>
        <w:spacing w:before="120"/>
      </w:pPr>
      <w:r w:rsidRPr="001D145B">
        <w:rPr>
          <w:b/>
          <w:bCs/>
        </w:rPr>
        <w:t>Key Observations</w:t>
      </w:r>
    </w:p>
    <w:p w14:paraId="09E6A730" w14:textId="77777777" w:rsidR="001D145B" w:rsidRPr="001D145B" w:rsidRDefault="001D145B" w:rsidP="00910E89">
      <w:pPr>
        <w:numPr>
          <w:ilvl w:val="0"/>
          <w:numId w:val="33"/>
        </w:numPr>
        <w:spacing w:before="120"/>
      </w:pPr>
      <w:r w:rsidRPr="001D145B">
        <w:rPr>
          <w:b/>
          <w:bCs/>
        </w:rPr>
        <w:t>Asia</w:t>
      </w:r>
      <w:r w:rsidRPr="001D145B">
        <w:rPr>
          <w:b/>
          <w:bCs/>
        </w:rPr>
        <w:noBreakHyphen/>
        <w:t>Pacific</w:t>
      </w:r>
      <w:r w:rsidRPr="001D145B">
        <w:t xml:space="preserve"> consistently records the highest production and consumption volumes, driven by industrial demand and population size.</w:t>
      </w:r>
    </w:p>
    <w:p w14:paraId="70A8995A" w14:textId="77777777" w:rsidR="001D145B" w:rsidRPr="001D145B" w:rsidRDefault="001D145B" w:rsidP="00910E89">
      <w:pPr>
        <w:numPr>
          <w:ilvl w:val="0"/>
          <w:numId w:val="33"/>
        </w:numPr>
        <w:spacing w:before="120"/>
      </w:pPr>
      <w:r w:rsidRPr="001D145B">
        <w:rPr>
          <w:b/>
          <w:bCs/>
        </w:rPr>
        <w:t>Middle East</w:t>
      </w:r>
      <w:r w:rsidRPr="001D145B">
        <w:t xml:space="preserve"> shows strong export</w:t>
      </w:r>
      <w:r w:rsidRPr="001D145B">
        <w:noBreakHyphen/>
        <w:t>oriented production, particularly for oil and natural gas.</w:t>
      </w:r>
    </w:p>
    <w:p w14:paraId="0F100563" w14:textId="77777777" w:rsidR="001D145B" w:rsidRPr="001D145B" w:rsidRDefault="001D145B" w:rsidP="00910E89">
      <w:pPr>
        <w:numPr>
          <w:ilvl w:val="0"/>
          <w:numId w:val="33"/>
        </w:numPr>
        <w:spacing w:before="120"/>
      </w:pPr>
      <w:r w:rsidRPr="001D145B">
        <w:rPr>
          <w:b/>
          <w:bCs/>
        </w:rPr>
        <w:t>Europe and North America</w:t>
      </w:r>
      <w:r w:rsidRPr="001D145B">
        <w:t xml:space="preserve"> demonstrate balanced production–consumption patterns with higher renewable integration.</w:t>
      </w:r>
    </w:p>
    <w:p w14:paraId="6F5454B7" w14:textId="1272B83A" w:rsidR="001D145B" w:rsidRDefault="001D145B" w:rsidP="00910E89">
      <w:pPr>
        <w:numPr>
          <w:ilvl w:val="0"/>
          <w:numId w:val="33"/>
        </w:numPr>
        <w:spacing w:before="120"/>
      </w:pPr>
      <w:r w:rsidRPr="001D145B">
        <w:rPr>
          <w:b/>
          <w:bCs/>
        </w:rPr>
        <w:t>Africa and Latin America</w:t>
      </w:r>
      <w:r w:rsidRPr="001D145B">
        <w:t xml:space="preserve"> show greater variability, reflecting infrastructure constraints and seasonal factors.</w:t>
      </w:r>
    </w:p>
    <w:p w14:paraId="14C0AE81" w14:textId="77777777" w:rsidR="00AE3DF8" w:rsidRPr="001D145B" w:rsidRDefault="00AE3DF8" w:rsidP="00910E89">
      <w:pPr>
        <w:spacing w:before="120"/>
        <w:ind w:left="360" w:firstLine="0"/>
      </w:pPr>
    </w:p>
    <w:p w14:paraId="1142F362" w14:textId="6D496435" w:rsidR="001D145B" w:rsidRDefault="00A72AE0" w:rsidP="00910E89">
      <w:pPr>
        <w:spacing w:before="120"/>
      </w:pPr>
      <w:r w:rsidRPr="00A72AE0">
        <w:lastRenderedPageBreak/>
        <w:drawing>
          <wp:inline distT="0" distB="0" distL="0" distR="0" wp14:anchorId="027ED221" wp14:editId="0580378A">
            <wp:extent cx="5958840" cy="2750820"/>
            <wp:effectExtent l="0" t="0" r="3810" b="0"/>
            <wp:docPr id="3819633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58840" cy="2750820"/>
                    </a:xfrm>
                    <a:prstGeom prst="rect">
                      <a:avLst/>
                    </a:prstGeom>
                    <a:noFill/>
                    <a:ln>
                      <a:noFill/>
                    </a:ln>
                  </pic:spPr>
                </pic:pic>
              </a:graphicData>
            </a:graphic>
          </wp:inline>
        </w:drawing>
      </w:r>
    </w:p>
    <w:p w14:paraId="2E62C94F" w14:textId="77777777" w:rsidR="003576D6" w:rsidRDefault="003576D6" w:rsidP="00910E89">
      <w:pPr>
        <w:spacing w:before="120"/>
      </w:pPr>
    </w:p>
    <w:p w14:paraId="2D42E9E0" w14:textId="3B27F88A" w:rsidR="00E1510C" w:rsidRDefault="00B15B4A" w:rsidP="00273990">
      <w:pPr>
        <w:spacing w:before="120"/>
      </w:pPr>
      <w:r w:rsidRPr="00B15B4A">
        <w:rPr>
          <w:rStyle w:val="Heading3Char"/>
        </w:rPr>
        <w:t>Figure 2. Production vs Consumption by Region</w:t>
      </w:r>
      <w:r w:rsidRPr="00B15B4A">
        <w:br/>
        <w:t>Asia</w:t>
      </w:r>
      <w:r w:rsidRPr="00B15B4A">
        <w:noBreakHyphen/>
        <w:t>Pacific shows the highest production and consumption levels, reflecting strong industrial demand. The Middle East demonstrates a clear production surplus, consistent with its export</w:t>
      </w:r>
      <w:r w:rsidRPr="00B15B4A">
        <w:noBreakHyphen/>
        <w:t>oriented energy profile. Europe and North America show more balanced patterns, while Africa and Latin America exhibit greater variability due to infrastructure and seasonal factors.</w:t>
      </w:r>
    </w:p>
    <w:p w14:paraId="6D260227" w14:textId="77777777" w:rsidR="00273990" w:rsidRPr="001D145B" w:rsidRDefault="00273990" w:rsidP="00273990">
      <w:pPr>
        <w:spacing w:before="120"/>
      </w:pPr>
    </w:p>
    <w:p w14:paraId="507FB6AA" w14:textId="77777777" w:rsidR="001D145B" w:rsidRPr="001D145B" w:rsidRDefault="001D145B" w:rsidP="00910E89">
      <w:pPr>
        <w:pStyle w:val="Heading2"/>
      </w:pPr>
      <w:r w:rsidRPr="001D145B">
        <w:t>4. Supply–Demand Gap and Market Stability</w:t>
      </w:r>
    </w:p>
    <w:p w14:paraId="4E8F7D36" w14:textId="77777777" w:rsidR="001D145B" w:rsidRPr="001D145B" w:rsidRDefault="001D145B" w:rsidP="00910E89">
      <w:pPr>
        <w:spacing w:before="120"/>
      </w:pPr>
      <w:r w:rsidRPr="001D145B">
        <w:t>The supply–demand gap is a critical indicator of market balance and price pressure.</w:t>
      </w:r>
    </w:p>
    <w:p w14:paraId="27569616" w14:textId="77777777" w:rsidR="001D145B" w:rsidRPr="001D145B" w:rsidRDefault="001D145B" w:rsidP="00910E89">
      <w:pPr>
        <w:spacing w:before="120"/>
      </w:pPr>
      <w:r w:rsidRPr="001D145B">
        <w:rPr>
          <w:b/>
          <w:bCs/>
        </w:rPr>
        <w:t>Key Observations</w:t>
      </w:r>
    </w:p>
    <w:p w14:paraId="3FC89FB6" w14:textId="77777777" w:rsidR="001D145B" w:rsidRPr="001D145B" w:rsidRDefault="001D145B" w:rsidP="00910E89">
      <w:pPr>
        <w:numPr>
          <w:ilvl w:val="0"/>
          <w:numId w:val="35"/>
        </w:numPr>
        <w:spacing w:before="120"/>
      </w:pPr>
      <w:r w:rsidRPr="001D145B">
        <w:rPr>
          <w:b/>
          <w:bCs/>
        </w:rPr>
        <w:t>Negative gaps</w:t>
      </w:r>
      <w:r w:rsidRPr="001D145B">
        <w:t xml:space="preserve"> (consumption &gt; production) correlate with higher volatility and lower market balance scores.</w:t>
      </w:r>
    </w:p>
    <w:p w14:paraId="0EA3DB2B" w14:textId="77777777" w:rsidR="001D145B" w:rsidRPr="001D145B" w:rsidRDefault="001D145B" w:rsidP="00910E89">
      <w:pPr>
        <w:numPr>
          <w:ilvl w:val="0"/>
          <w:numId w:val="35"/>
        </w:numPr>
        <w:spacing w:before="120"/>
      </w:pPr>
      <w:r w:rsidRPr="001D145B">
        <w:rPr>
          <w:b/>
          <w:bCs/>
        </w:rPr>
        <w:t>Positive gaps</w:t>
      </w:r>
      <w:r w:rsidRPr="001D145B">
        <w:t xml:space="preserve"> (production &gt; consumption) align with more stable pricing and stronger market balance.</w:t>
      </w:r>
    </w:p>
    <w:p w14:paraId="3F1BB020" w14:textId="77777777" w:rsidR="001D145B" w:rsidRPr="001D145B" w:rsidRDefault="001D145B" w:rsidP="00910E89">
      <w:pPr>
        <w:numPr>
          <w:ilvl w:val="0"/>
          <w:numId w:val="35"/>
        </w:numPr>
        <w:spacing w:before="120"/>
      </w:pPr>
      <w:r w:rsidRPr="001D145B">
        <w:t>Regions with persistent negative gaps may face long</w:t>
      </w:r>
      <w:r w:rsidRPr="001D145B">
        <w:noBreakHyphen/>
        <w:t>term price instability and increased reliance on imports.</w:t>
      </w:r>
    </w:p>
    <w:p w14:paraId="24409B9C" w14:textId="5FB6B737" w:rsidR="001D145B" w:rsidRPr="001D145B" w:rsidRDefault="001D145B" w:rsidP="00910E89">
      <w:pPr>
        <w:spacing w:before="120"/>
      </w:pPr>
    </w:p>
    <w:p w14:paraId="5D9E7D4C" w14:textId="547918BD" w:rsidR="001D145B" w:rsidRDefault="00E1510C" w:rsidP="00910E89">
      <w:pPr>
        <w:spacing w:before="120"/>
      </w:pPr>
      <w:r w:rsidRPr="00E1510C">
        <w:lastRenderedPageBreak/>
        <w:drawing>
          <wp:inline distT="0" distB="0" distL="0" distR="0" wp14:anchorId="480EC6B6" wp14:editId="72F4F2E9">
            <wp:extent cx="5731510" cy="2466340"/>
            <wp:effectExtent l="0" t="0" r="2540" b="0"/>
            <wp:docPr id="18313067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466340"/>
                    </a:xfrm>
                    <a:prstGeom prst="rect">
                      <a:avLst/>
                    </a:prstGeom>
                    <a:noFill/>
                    <a:ln>
                      <a:noFill/>
                    </a:ln>
                  </pic:spPr>
                </pic:pic>
              </a:graphicData>
            </a:graphic>
          </wp:inline>
        </w:drawing>
      </w:r>
    </w:p>
    <w:p w14:paraId="4FAB0B89" w14:textId="77777777" w:rsidR="003576D6" w:rsidRDefault="003576D6" w:rsidP="00910E89">
      <w:pPr>
        <w:spacing w:before="120"/>
      </w:pPr>
    </w:p>
    <w:p w14:paraId="60CAA448" w14:textId="77777777" w:rsidR="00E1510C" w:rsidRPr="00E1510C" w:rsidRDefault="00E1510C" w:rsidP="00910E89">
      <w:pPr>
        <w:spacing w:before="120"/>
      </w:pPr>
      <w:r w:rsidRPr="00E1510C">
        <w:rPr>
          <w:rStyle w:val="Heading3Char"/>
        </w:rPr>
        <w:t>Figure 3. Supply–Demand Gap Over Time</w:t>
      </w:r>
      <w:r w:rsidRPr="00E1510C">
        <w:br/>
        <w:t>The supply–demand gap fluctuates significantly across the three</w:t>
      </w:r>
      <w:r w:rsidRPr="00E1510C">
        <w:noBreakHyphen/>
        <w:t>year period, with several quarters showing negative values, indicating consumption exceeding production. These periods align with higher volatility and reduced market balance. Positive gaps correspond to more stable market conditions, particularly in quarters with strong production performance.</w:t>
      </w:r>
    </w:p>
    <w:p w14:paraId="38BDADAD" w14:textId="77777777" w:rsidR="00E1510C" w:rsidRPr="001D145B" w:rsidRDefault="00E1510C" w:rsidP="00910E89">
      <w:pPr>
        <w:spacing w:before="120"/>
      </w:pPr>
    </w:p>
    <w:p w14:paraId="2439AD58" w14:textId="77777777" w:rsidR="001D145B" w:rsidRPr="001D145B" w:rsidRDefault="001D145B" w:rsidP="00910E89">
      <w:pPr>
        <w:pStyle w:val="Heading2"/>
      </w:pPr>
      <w:r w:rsidRPr="001D145B">
        <w:t>5. Impact of Shock Events</w:t>
      </w:r>
    </w:p>
    <w:p w14:paraId="53BBCF8D" w14:textId="77777777" w:rsidR="001D145B" w:rsidRPr="001D145B" w:rsidRDefault="001D145B" w:rsidP="00910E89">
      <w:pPr>
        <w:spacing w:before="120"/>
      </w:pPr>
      <w:r w:rsidRPr="001D145B">
        <w:t>Shock indicators capture disruptions such as geopolitical tensions, extreme weather, regulatory changes, and supply chain issues.</w:t>
      </w:r>
    </w:p>
    <w:p w14:paraId="6716321B" w14:textId="77777777" w:rsidR="001D145B" w:rsidRPr="001D145B" w:rsidRDefault="001D145B" w:rsidP="00910E89">
      <w:pPr>
        <w:spacing w:before="120"/>
      </w:pPr>
      <w:r w:rsidRPr="001D145B">
        <w:rPr>
          <w:b/>
          <w:bCs/>
        </w:rPr>
        <w:t>Key Observations</w:t>
      </w:r>
    </w:p>
    <w:p w14:paraId="598D2680" w14:textId="77777777" w:rsidR="001D145B" w:rsidRPr="001D145B" w:rsidRDefault="001D145B" w:rsidP="00910E89">
      <w:pPr>
        <w:numPr>
          <w:ilvl w:val="0"/>
          <w:numId w:val="36"/>
        </w:numPr>
        <w:spacing w:before="120"/>
      </w:pPr>
      <w:r w:rsidRPr="001D145B">
        <w:t xml:space="preserve">Quarters with </w:t>
      </w:r>
      <w:r w:rsidRPr="001D145B">
        <w:rPr>
          <w:b/>
          <w:bCs/>
        </w:rPr>
        <w:t>geopolitical events</w:t>
      </w:r>
      <w:r w:rsidRPr="001D145B">
        <w:t xml:space="preserve"> show noticeable increases in price volatility, especially for oil and LNG.</w:t>
      </w:r>
    </w:p>
    <w:p w14:paraId="170ADD89" w14:textId="77777777" w:rsidR="001D145B" w:rsidRPr="001D145B" w:rsidRDefault="001D145B" w:rsidP="00910E89">
      <w:pPr>
        <w:numPr>
          <w:ilvl w:val="0"/>
          <w:numId w:val="36"/>
        </w:numPr>
        <w:spacing w:before="120"/>
      </w:pPr>
      <w:r w:rsidRPr="001D145B">
        <w:rPr>
          <w:b/>
          <w:bCs/>
        </w:rPr>
        <w:t>Extreme weather</w:t>
      </w:r>
      <w:r w:rsidRPr="001D145B">
        <w:t xml:space="preserve"> events correlate with higher imports and reduced market balance, particularly in regions with limited storage.</w:t>
      </w:r>
    </w:p>
    <w:p w14:paraId="16E18CDD" w14:textId="77777777" w:rsidR="001D145B" w:rsidRPr="001D145B" w:rsidRDefault="001D145B" w:rsidP="00910E89">
      <w:pPr>
        <w:numPr>
          <w:ilvl w:val="0"/>
          <w:numId w:val="36"/>
        </w:numPr>
        <w:spacing w:before="120"/>
      </w:pPr>
      <w:r w:rsidRPr="001D145B">
        <w:rPr>
          <w:b/>
          <w:bCs/>
        </w:rPr>
        <w:t>Regulatory changes</w:t>
      </w:r>
      <w:r w:rsidRPr="001D145B">
        <w:t xml:space="preserve"> tend to affect coal and natural gas markets more strongly.</w:t>
      </w:r>
    </w:p>
    <w:p w14:paraId="65E5C7AF" w14:textId="77777777" w:rsidR="001D145B" w:rsidRPr="001D145B" w:rsidRDefault="001D145B" w:rsidP="00910E89">
      <w:pPr>
        <w:numPr>
          <w:ilvl w:val="0"/>
          <w:numId w:val="36"/>
        </w:numPr>
        <w:spacing w:before="120"/>
      </w:pPr>
      <w:r w:rsidRPr="001D145B">
        <w:rPr>
          <w:b/>
          <w:bCs/>
        </w:rPr>
        <w:t>Supply chain disruptions</w:t>
      </w:r>
      <w:r w:rsidRPr="001D145B">
        <w:t xml:space="preserve"> often coincide with increased volatility and reduced export capacity.</w:t>
      </w:r>
    </w:p>
    <w:p w14:paraId="637D79C4" w14:textId="41ABAA2F" w:rsidR="001D145B" w:rsidRPr="001D145B" w:rsidRDefault="001D145B" w:rsidP="00910E89">
      <w:pPr>
        <w:spacing w:before="120"/>
      </w:pPr>
    </w:p>
    <w:p w14:paraId="5FB52F77" w14:textId="4D973111" w:rsidR="001D145B" w:rsidRDefault="003576D6" w:rsidP="00910E89">
      <w:pPr>
        <w:spacing w:before="120"/>
      </w:pPr>
      <w:r w:rsidRPr="003576D6">
        <w:drawing>
          <wp:inline distT="0" distB="0" distL="0" distR="0" wp14:anchorId="525BD295" wp14:editId="06DC7BE1">
            <wp:extent cx="5731510" cy="3213735"/>
            <wp:effectExtent l="0" t="0" r="2540" b="5715"/>
            <wp:docPr id="95782936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13735"/>
                    </a:xfrm>
                    <a:prstGeom prst="rect">
                      <a:avLst/>
                    </a:prstGeom>
                    <a:noFill/>
                    <a:ln>
                      <a:noFill/>
                    </a:ln>
                  </pic:spPr>
                </pic:pic>
              </a:graphicData>
            </a:graphic>
          </wp:inline>
        </w:drawing>
      </w:r>
      <w:r w:rsidR="00BC23A4">
        <w:tab/>
      </w:r>
    </w:p>
    <w:p w14:paraId="65542B88" w14:textId="77777777" w:rsidR="008B1B7B" w:rsidRPr="008B1B7B" w:rsidRDefault="008B1B7B" w:rsidP="00910E89">
      <w:pPr>
        <w:spacing w:before="120"/>
      </w:pPr>
      <w:r w:rsidRPr="008B1B7B">
        <w:rPr>
          <w:rStyle w:val="Heading3Char"/>
        </w:rPr>
        <w:t>Figure 4. Shock Events by Quarter</w:t>
      </w:r>
      <w:r w:rsidRPr="008B1B7B">
        <w:br/>
        <w:t>Shock events vary significantly across the three</w:t>
      </w:r>
      <w:r w:rsidRPr="008B1B7B">
        <w:noBreakHyphen/>
        <w:t>year period, with several quarters showing clusters of geopolitical and supply</w:t>
      </w:r>
      <w:r w:rsidRPr="008B1B7B">
        <w:noBreakHyphen/>
        <w:t>chain disruptions. Weather</w:t>
      </w:r>
      <w:r w:rsidRPr="008B1B7B">
        <w:noBreakHyphen/>
        <w:t>related shocks appear more seasonally concentrated, while regulatory events occur intermittently. Quarters with multiple shock types align with higher volatility and reduced market balance, particularly for oil and natural gas markets.</w:t>
      </w:r>
    </w:p>
    <w:p w14:paraId="31D59232" w14:textId="77777777" w:rsidR="008B1B7B" w:rsidRPr="001D145B" w:rsidRDefault="008B1B7B" w:rsidP="00910E89">
      <w:pPr>
        <w:spacing w:before="120"/>
      </w:pPr>
    </w:p>
    <w:p w14:paraId="44EACB36" w14:textId="77777777" w:rsidR="001D145B" w:rsidRPr="001D145B" w:rsidRDefault="001D145B" w:rsidP="00910E89">
      <w:pPr>
        <w:pStyle w:val="Heading2"/>
      </w:pPr>
      <w:r w:rsidRPr="001D145B">
        <w:t>6. Renewable Share Trends</w:t>
      </w:r>
    </w:p>
    <w:p w14:paraId="7E82AE6E" w14:textId="77777777" w:rsidR="001D145B" w:rsidRPr="001D145B" w:rsidRDefault="001D145B" w:rsidP="00910E89">
      <w:pPr>
        <w:spacing w:before="120"/>
      </w:pPr>
      <w:r w:rsidRPr="001D145B">
        <w:t>Renewable share increases gradually across all regions, reflecting global investment trends and policy influence.</w:t>
      </w:r>
    </w:p>
    <w:p w14:paraId="766AADAA" w14:textId="77777777" w:rsidR="001D145B" w:rsidRPr="001D145B" w:rsidRDefault="001D145B" w:rsidP="00910E89">
      <w:pPr>
        <w:spacing w:before="120"/>
      </w:pPr>
      <w:r w:rsidRPr="001D145B">
        <w:rPr>
          <w:b/>
          <w:bCs/>
        </w:rPr>
        <w:t>Key Observations</w:t>
      </w:r>
    </w:p>
    <w:p w14:paraId="75954EC3" w14:textId="77777777" w:rsidR="001D145B" w:rsidRPr="001D145B" w:rsidRDefault="001D145B" w:rsidP="00910E89">
      <w:pPr>
        <w:numPr>
          <w:ilvl w:val="0"/>
          <w:numId w:val="37"/>
        </w:numPr>
        <w:spacing w:before="120"/>
      </w:pPr>
      <w:r w:rsidRPr="001D145B">
        <w:t>Renewable share values rise steadily from Year 1 to Year 3.</w:t>
      </w:r>
    </w:p>
    <w:p w14:paraId="7BFB805A" w14:textId="77777777" w:rsidR="001D145B" w:rsidRPr="001D145B" w:rsidRDefault="001D145B" w:rsidP="00910E89">
      <w:pPr>
        <w:numPr>
          <w:ilvl w:val="0"/>
          <w:numId w:val="37"/>
        </w:numPr>
        <w:spacing w:before="120"/>
      </w:pPr>
      <w:r w:rsidRPr="001D145B">
        <w:t>Europe and North America lead in renewable adoption.</w:t>
      </w:r>
    </w:p>
    <w:p w14:paraId="7A780416" w14:textId="77777777" w:rsidR="001D145B" w:rsidRPr="001D145B" w:rsidRDefault="001D145B" w:rsidP="00910E89">
      <w:pPr>
        <w:numPr>
          <w:ilvl w:val="0"/>
          <w:numId w:val="37"/>
        </w:numPr>
        <w:spacing w:before="120"/>
      </w:pPr>
      <w:r w:rsidRPr="001D145B">
        <w:lastRenderedPageBreak/>
        <w:t>Asia</w:t>
      </w:r>
      <w:r w:rsidRPr="001D145B">
        <w:noBreakHyphen/>
        <w:t>Pacific shows growth but remains more dependent on fossil fuels due to industrial demand.</w:t>
      </w:r>
    </w:p>
    <w:p w14:paraId="6941C8E2" w14:textId="77777777" w:rsidR="001D145B" w:rsidRPr="001D145B" w:rsidRDefault="001D145B" w:rsidP="00910E89">
      <w:pPr>
        <w:numPr>
          <w:ilvl w:val="0"/>
          <w:numId w:val="37"/>
        </w:numPr>
        <w:spacing w:before="120"/>
      </w:pPr>
      <w:r w:rsidRPr="001D145B">
        <w:t>Higher renewable share correlates with lower volatility and improved market balance.</w:t>
      </w:r>
    </w:p>
    <w:p w14:paraId="1BC480E9" w14:textId="71DFAB1B" w:rsidR="001D145B" w:rsidRPr="001D145B" w:rsidRDefault="001D145B" w:rsidP="00910E89">
      <w:pPr>
        <w:spacing w:before="120"/>
      </w:pPr>
    </w:p>
    <w:p w14:paraId="5C923951" w14:textId="649369AC" w:rsidR="001D145B" w:rsidRDefault="003576D6" w:rsidP="00910E89">
      <w:pPr>
        <w:spacing w:before="120"/>
      </w:pPr>
      <w:r w:rsidRPr="003576D6">
        <w:drawing>
          <wp:inline distT="0" distB="0" distL="0" distR="0" wp14:anchorId="605AE20B" wp14:editId="21859531">
            <wp:extent cx="5731510" cy="3328035"/>
            <wp:effectExtent l="0" t="0" r="2540" b="5715"/>
            <wp:docPr id="5944483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28035"/>
                    </a:xfrm>
                    <a:prstGeom prst="rect">
                      <a:avLst/>
                    </a:prstGeom>
                    <a:noFill/>
                    <a:ln>
                      <a:noFill/>
                    </a:ln>
                  </pic:spPr>
                </pic:pic>
              </a:graphicData>
            </a:graphic>
          </wp:inline>
        </w:drawing>
      </w:r>
    </w:p>
    <w:p w14:paraId="0D7B28B6" w14:textId="77777777" w:rsidR="00960C83" w:rsidRDefault="00960C83" w:rsidP="00910E89">
      <w:pPr>
        <w:spacing w:before="120"/>
      </w:pPr>
    </w:p>
    <w:p w14:paraId="41FBF457" w14:textId="677E438C" w:rsidR="00960C83" w:rsidRDefault="00960C83" w:rsidP="00910E89">
      <w:pPr>
        <w:spacing w:before="120"/>
      </w:pPr>
      <w:r w:rsidRPr="00960C83">
        <w:rPr>
          <w:rStyle w:val="Heading3Char"/>
        </w:rPr>
        <w:t>Figure 5. Renewable Share by Region Over Time</w:t>
      </w:r>
      <w:r w:rsidRPr="00960C83">
        <w:br/>
        <w:t>Renewable share increases steadily across all regions over the three</w:t>
      </w:r>
      <w:r w:rsidRPr="00960C83">
        <w:noBreakHyphen/>
        <w:t>year period, with Europe and North America showing the highest levels of adoption. Asia</w:t>
      </w:r>
      <w:r w:rsidRPr="00960C83">
        <w:noBreakHyphen/>
        <w:t>Pacific demonstrates consistent growth but remains more dependent on fossil fuels due to industrial demand. Africa and Latin America show more variability, reflecting infrastructure constraints and seasonal factors. Higher renewable share correlates with lower volatility and improved market balance.</w:t>
      </w:r>
    </w:p>
    <w:p w14:paraId="77AAA856" w14:textId="77777777" w:rsidR="00960C83" w:rsidRPr="001D145B" w:rsidRDefault="00960C83" w:rsidP="00910E89">
      <w:pPr>
        <w:spacing w:before="120"/>
      </w:pPr>
    </w:p>
    <w:p w14:paraId="70ADCDFC" w14:textId="77777777" w:rsidR="001D145B" w:rsidRPr="001D145B" w:rsidRDefault="001D145B" w:rsidP="00910E89">
      <w:pPr>
        <w:pStyle w:val="Heading2"/>
      </w:pPr>
      <w:r w:rsidRPr="001D145B">
        <w:t>7. Market Balance and Volatility</w:t>
      </w:r>
    </w:p>
    <w:p w14:paraId="56C43C86" w14:textId="77777777" w:rsidR="001D145B" w:rsidRPr="001D145B" w:rsidRDefault="001D145B" w:rsidP="00910E89">
      <w:pPr>
        <w:spacing w:before="120"/>
      </w:pPr>
      <w:r w:rsidRPr="001D145B">
        <w:t>Market balance is influenced by imports, exports, production, and consumption.</w:t>
      </w:r>
    </w:p>
    <w:p w14:paraId="502296C7" w14:textId="77777777" w:rsidR="001D145B" w:rsidRPr="001D145B" w:rsidRDefault="001D145B" w:rsidP="00910E89">
      <w:pPr>
        <w:spacing w:before="120"/>
      </w:pPr>
      <w:r w:rsidRPr="001D145B">
        <w:rPr>
          <w:b/>
          <w:bCs/>
        </w:rPr>
        <w:lastRenderedPageBreak/>
        <w:t>Key Observations</w:t>
      </w:r>
    </w:p>
    <w:p w14:paraId="59FF34FF" w14:textId="77777777" w:rsidR="001D145B" w:rsidRPr="001D145B" w:rsidRDefault="001D145B" w:rsidP="00910E89">
      <w:pPr>
        <w:numPr>
          <w:ilvl w:val="0"/>
          <w:numId w:val="38"/>
        </w:numPr>
        <w:spacing w:before="120"/>
      </w:pPr>
      <w:r w:rsidRPr="001D145B">
        <w:t>Regions with strong export capacity (e.g., Middle East) maintain higher market balance scores.</w:t>
      </w:r>
    </w:p>
    <w:p w14:paraId="2EA0F946" w14:textId="77777777" w:rsidR="001D145B" w:rsidRPr="001D145B" w:rsidRDefault="001D145B" w:rsidP="00910E89">
      <w:pPr>
        <w:numPr>
          <w:ilvl w:val="0"/>
          <w:numId w:val="38"/>
        </w:numPr>
        <w:spacing w:before="120"/>
      </w:pPr>
      <w:r w:rsidRPr="001D145B">
        <w:t>High</w:t>
      </w:r>
      <w:r w:rsidRPr="001D145B">
        <w:noBreakHyphen/>
        <w:t>volatility energy types (oil, LNG) show more dramatic swings in market balance.</w:t>
      </w:r>
    </w:p>
    <w:p w14:paraId="7087B5B6" w14:textId="77777777" w:rsidR="001D145B" w:rsidRPr="001D145B" w:rsidRDefault="001D145B" w:rsidP="00910E89">
      <w:pPr>
        <w:numPr>
          <w:ilvl w:val="0"/>
          <w:numId w:val="38"/>
        </w:numPr>
        <w:spacing w:before="120"/>
      </w:pPr>
      <w:r w:rsidRPr="001D145B">
        <w:t>Storage levels play a stabilising role, particularly during shock events.</w:t>
      </w:r>
    </w:p>
    <w:p w14:paraId="21530BAB" w14:textId="0E2EFCD3" w:rsidR="001D145B" w:rsidRPr="001D145B" w:rsidRDefault="001D145B" w:rsidP="00910E89">
      <w:pPr>
        <w:spacing w:before="120"/>
      </w:pPr>
    </w:p>
    <w:p w14:paraId="09F35F0A" w14:textId="060F8C21" w:rsidR="001D145B" w:rsidRDefault="006E1C90" w:rsidP="00910E89">
      <w:pPr>
        <w:spacing w:before="120"/>
      </w:pPr>
      <w:r w:rsidRPr="006E1C90">
        <w:drawing>
          <wp:inline distT="0" distB="0" distL="0" distR="0" wp14:anchorId="035C0FAF" wp14:editId="62558656">
            <wp:extent cx="5250180" cy="2735580"/>
            <wp:effectExtent l="0" t="0" r="7620" b="7620"/>
            <wp:docPr id="15424142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50180" cy="2735580"/>
                    </a:xfrm>
                    <a:prstGeom prst="rect">
                      <a:avLst/>
                    </a:prstGeom>
                    <a:noFill/>
                    <a:ln>
                      <a:noFill/>
                    </a:ln>
                  </pic:spPr>
                </pic:pic>
              </a:graphicData>
            </a:graphic>
          </wp:inline>
        </w:drawing>
      </w:r>
    </w:p>
    <w:p w14:paraId="2A5C904C" w14:textId="77777777" w:rsidR="006E1C90" w:rsidRDefault="006E1C90" w:rsidP="00910E89">
      <w:pPr>
        <w:spacing w:before="120"/>
      </w:pPr>
    </w:p>
    <w:p w14:paraId="2F89C689" w14:textId="77777777" w:rsidR="006E1C90" w:rsidRPr="006E1C90" w:rsidRDefault="006E1C90" w:rsidP="00910E89">
      <w:pPr>
        <w:spacing w:before="120"/>
      </w:pPr>
      <w:r w:rsidRPr="006E1C90">
        <w:rPr>
          <w:rStyle w:val="Heading3Char"/>
        </w:rPr>
        <w:t>Figure 6. Market Balance vs Price Volatility</w:t>
      </w:r>
      <w:r w:rsidRPr="006E1C90">
        <w:br/>
        <w:t>The scatter plot shows a clear negative relationship between market balance and price volatility. Regions with stronger market balance scores tend to exhibit lower volatility, reflecting more stable supply–demand conditions. Conversely, regions with weaker balance scores show higher volatility, often driven by supply constraints, import dependence, or exposure to shock events.</w:t>
      </w:r>
    </w:p>
    <w:p w14:paraId="3EF58B25" w14:textId="77777777" w:rsidR="006E1C90" w:rsidRPr="001D145B" w:rsidRDefault="006E1C90" w:rsidP="00910E89">
      <w:pPr>
        <w:spacing w:before="120"/>
      </w:pPr>
    </w:p>
    <w:p w14:paraId="5891B3C9" w14:textId="77777777" w:rsidR="001D145B" w:rsidRPr="001D145B" w:rsidRDefault="001D145B" w:rsidP="00910E89">
      <w:pPr>
        <w:pStyle w:val="Heading2"/>
      </w:pPr>
      <w:r w:rsidRPr="001D145B">
        <w:t>8. Summary of Insights</w:t>
      </w:r>
    </w:p>
    <w:p w14:paraId="68AB05DA" w14:textId="77777777" w:rsidR="001D145B" w:rsidRPr="001D145B" w:rsidRDefault="001D145B" w:rsidP="00910E89">
      <w:pPr>
        <w:spacing w:before="120"/>
      </w:pPr>
      <w:r w:rsidRPr="001D145B">
        <w:t>The dataset reveals several consistent patterns:</w:t>
      </w:r>
    </w:p>
    <w:p w14:paraId="040C6240" w14:textId="77777777" w:rsidR="001D145B" w:rsidRPr="001D145B" w:rsidRDefault="001D145B" w:rsidP="00910E89">
      <w:pPr>
        <w:numPr>
          <w:ilvl w:val="0"/>
          <w:numId w:val="39"/>
        </w:numPr>
        <w:spacing w:before="120"/>
      </w:pPr>
      <w:r w:rsidRPr="001D145B">
        <w:t>Fossil fuels exhibit higher volatility than renewables.</w:t>
      </w:r>
    </w:p>
    <w:p w14:paraId="6A21F3DC" w14:textId="77777777" w:rsidR="001D145B" w:rsidRPr="001D145B" w:rsidRDefault="001D145B" w:rsidP="00910E89">
      <w:pPr>
        <w:numPr>
          <w:ilvl w:val="0"/>
          <w:numId w:val="39"/>
        </w:numPr>
        <w:spacing w:before="120"/>
      </w:pPr>
      <w:r w:rsidRPr="001D145B">
        <w:lastRenderedPageBreak/>
        <w:t>Asia</w:t>
      </w:r>
      <w:r w:rsidRPr="001D145B">
        <w:noBreakHyphen/>
        <w:t>Pacific drives global demand, while the Middle East drives exports.</w:t>
      </w:r>
    </w:p>
    <w:p w14:paraId="33952B1F" w14:textId="77777777" w:rsidR="001D145B" w:rsidRPr="001D145B" w:rsidRDefault="001D145B" w:rsidP="00910E89">
      <w:pPr>
        <w:numPr>
          <w:ilvl w:val="0"/>
          <w:numId w:val="39"/>
        </w:numPr>
        <w:spacing w:before="120"/>
      </w:pPr>
      <w:r w:rsidRPr="001D145B">
        <w:t>Renewable adoption is increasing but uneven across regions.</w:t>
      </w:r>
    </w:p>
    <w:p w14:paraId="7CA402D3" w14:textId="77777777" w:rsidR="001D145B" w:rsidRPr="001D145B" w:rsidRDefault="001D145B" w:rsidP="00910E89">
      <w:pPr>
        <w:numPr>
          <w:ilvl w:val="0"/>
          <w:numId w:val="39"/>
        </w:numPr>
        <w:spacing w:before="120"/>
      </w:pPr>
      <w:r w:rsidRPr="001D145B">
        <w:t>Shock events significantly influence volatility and market balance.</w:t>
      </w:r>
    </w:p>
    <w:p w14:paraId="3B0D4C31" w14:textId="77777777" w:rsidR="001D145B" w:rsidRPr="001D145B" w:rsidRDefault="001D145B" w:rsidP="00910E89">
      <w:pPr>
        <w:numPr>
          <w:ilvl w:val="0"/>
          <w:numId w:val="39"/>
        </w:numPr>
        <w:spacing w:before="120"/>
      </w:pPr>
      <w:r w:rsidRPr="001D145B">
        <w:t>Supply–demand gaps are a strong predictor of market stability.</w:t>
      </w:r>
    </w:p>
    <w:p w14:paraId="6C446989" w14:textId="7F7F991D" w:rsidR="001D145B" w:rsidRPr="001D145B" w:rsidRDefault="001D145B" w:rsidP="00910E89">
      <w:pPr>
        <w:spacing w:before="120"/>
        <w:ind w:left="0" w:firstLine="0"/>
      </w:pPr>
      <w:r w:rsidRPr="001D145B">
        <w:t>These insights support strategic planning, risk assessment, and long</w:t>
      </w:r>
      <w:r w:rsidRPr="001D145B">
        <w:noBreakHyphen/>
        <w:t>term energy policy development.</w:t>
      </w:r>
    </w:p>
    <w:p w14:paraId="4152C3CF" w14:textId="0DA2622E" w:rsidR="001D145B" w:rsidRPr="001D145B" w:rsidRDefault="001D145B" w:rsidP="001D145B">
      <w:pPr>
        <w:spacing w:before="120" w:line="276" w:lineRule="auto"/>
      </w:pPr>
    </w:p>
    <w:p w14:paraId="6E1BD00E" w14:textId="134ACBCD" w:rsidR="001D145B" w:rsidRPr="001D145B" w:rsidRDefault="001D145B" w:rsidP="001D145B">
      <w:pPr>
        <w:spacing w:before="120" w:line="276" w:lineRule="auto"/>
        <w:ind w:left="0" w:firstLine="0"/>
      </w:pPr>
    </w:p>
    <w:p w14:paraId="049B79D4" w14:textId="77777777" w:rsidR="000C43E3" w:rsidRDefault="000C43E3" w:rsidP="00704948">
      <w:pPr>
        <w:spacing w:before="120" w:line="276" w:lineRule="auto"/>
      </w:pPr>
    </w:p>
    <w:p w14:paraId="6AE86005" w14:textId="77777777" w:rsidR="000C43E3" w:rsidRDefault="000C43E3">
      <w:r>
        <w:br w:type="page"/>
      </w:r>
    </w:p>
    <w:p w14:paraId="3FFC092C" w14:textId="77777777" w:rsidR="00A072A8" w:rsidRPr="00A072A8" w:rsidRDefault="00A072A8" w:rsidP="00FD4B28">
      <w:pPr>
        <w:pStyle w:val="Heading1"/>
      </w:pPr>
      <w:bookmarkStart w:id="9" w:name="_Toc222056990"/>
      <w:r w:rsidRPr="00A072A8">
        <w:lastRenderedPageBreak/>
        <w:t>TECHNICAL APPENDIX</w:t>
      </w:r>
      <w:bookmarkEnd w:id="9"/>
    </w:p>
    <w:p w14:paraId="42F8A3CB" w14:textId="77777777" w:rsidR="00A072A8" w:rsidRPr="00A072A8" w:rsidRDefault="00A072A8" w:rsidP="00FD4B28">
      <w:pPr>
        <w:spacing w:before="120"/>
      </w:pPr>
      <w:r w:rsidRPr="00A072A8">
        <w:rPr>
          <w:b/>
          <w:bCs/>
        </w:rPr>
        <w:t>Energy Market Dataset – Methodology and Technical Documentation</w:t>
      </w:r>
    </w:p>
    <w:p w14:paraId="57B06F2C" w14:textId="4BB96222" w:rsidR="00A072A8" w:rsidRPr="00A072A8" w:rsidRDefault="00A072A8" w:rsidP="00F83602">
      <w:pPr>
        <w:pStyle w:val="Heading2"/>
      </w:pPr>
      <w:r w:rsidRPr="00A072A8">
        <w:t>1. Overview</w:t>
      </w:r>
    </w:p>
    <w:p w14:paraId="26A5CF51" w14:textId="77777777" w:rsidR="00A072A8" w:rsidRPr="00A072A8" w:rsidRDefault="00A072A8" w:rsidP="00FD4B28">
      <w:pPr>
        <w:spacing w:before="120"/>
      </w:pPr>
      <w:r w:rsidRPr="00A072A8">
        <w:t>This Technical Appendix provides a detailed explanation of the methodology used to generate, structure, and validate the synthetic energy market dataset used in the accompanying briefing note. It outlines the data</w:t>
      </w:r>
      <w:r w:rsidRPr="00A072A8">
        <w:noBreakHyphen/>
        <w:t>generation logic, variable definitions, assumptions, and reproducibility steps to ensure transparency and analytical rigour.</w:t>
      </w:r>
    </w:p>
    <w:p w14:paraId="420F1238" w14:textId="0CDFA948" w:rsidR="00A072A8" w:rsidRPr="00A072A8" w:rsidRDefault="00A072A8" w:rsidP="00F83602">
      <w:pPr>
        <w:pStyle w:val="Heading2"/>
      </w:pPr>
      <w:r w:rsidRPr="00A072A8">
        <w:t>2. Data Generation Methodology</w:t>
      </w:r>
    </w:p>
    <w:p w14:paraId="573AC63C" w14:textId="44E38CC3" w:rsidR="00A072A8" w:rsidRPr="00A072A8" w:rsidRDefault="00A072A8" w:rsidP="00FD4B28">
      <w:pPr>
        <w:spacing w:before="120"/>
      </w:pPr>
      <w:r w:rsidRPr="00A072A8">
        <w:rPr>
          <w:b/>
          <w:bCs/>
        </w:rPr>
        <w:t>2.1 Approach</w:t>
      </w:r>
    </w:p>
    <w:p w14:paraId="04D3C81D" w14:textId="77777777" w:rsidR="00A072A8" w:rsidRPr="00A072A8" w:rsidRDefault="00A072A8" w:rsidP="00FD4B28">
      <w:pPr>
        <w:spacing w:before="120"/>
      </w:pPr>
      <w:r w:rsidRPr="00A072A8">
        <w:t>A Python script was used to generate a structured dataset simulating global energy market behaviour over a three</w:t>
      </w:r>
      <w:r w:rsidRPr="00A072A8">
        <w:noBreakHyphen/>
        <w:t>year period. The script programmatically created 504 observations by combining:</w:t>
      </w:r>
    </w:p>
    <w:p w14:paraId="4BB0AB9E" w14:textId="77777777" w:rsidR="00A072A8" w:rsidRPr="00A072A8" w:rsidRDefault="00A072A8" w:rsidP="00FD4B28">
      <w:pPr>
        <w:numPr>
          <w:ilvl w:val="0"/>
          <w:numId w:val="15"/>
        </w:numPr>
        <w:spacing w:before="120"/>
      </w:pPr>
      <w:r w:rsidRPr="00A072A8">
        <w:rPr>
          <w:b/>
          <w:bCs/>
        </w:rPr>
        <w:t>12 quarters</w:t>
      </w:r>
    </w:p>
    <w:p w14:paraId="0838967D" w14:textId="77777777" w:rsidR="0018411A" w:rsidRDefault="00A072A8" w:rsidP="00FD4B28">
      <w:pPr>
        <w:numPr>
          <w:ilvl w:val="0"/>
          <w:numId w:val="15"/>
        </w:numPr>
        <w:spacing w:before="120"/>
      </w:pPr>
      <w:r w:rsidRPr="00A072A8">
        <w:rPr>
          <w:b/>
          <w:bCs/>
        </w:rPr>
        <w:t>6 region</w:t>
      </w:r>
      <w:r w:rsidR="0018411A">
        <w:rPr>
          <w:b/>
          <w:bCs/>
        </w:rPr>
        <w:t>s</w:t>
      </w:r>
    </w:p>
    <w:p w14:paraId="4482C56C" w14:textId="7BE48112" w:rsidR="0018411A" w:rsidRPr="0018411A" w:rsidRDefault="0018411A" w:rsidP="00FD4B28">
      <w:pPr>
        <w:numPr>
          <w:ilvl w:val="0"/>
          <w:numId w:val="15"/>
        </w:numPr>
        <w:spacing w:before="120"/>
      </w:pPr>
      <w:r w:rsidRPr="0018411A">
        <w:t xml:space="preserve"> </w:t>
      </w:r>
      <w:r w:rsidRPr="0018411A">
        <w:rPr>
          <w:b/>
          <w:bCs/>
        </w:rPr>
        <w:t>7 energy types</w:t>
      </w:r>
    </w:p>
    <w:p w14:paraId="67DC9666" w14:textId="77777777" w:rsidR="0018411A" w:rsidRPr="0018411A" w:rsidRDefault="0018411A" w:rsidP="00FD4B28">
      <w:pPr>
        <w:spacing w:before="120"/>
        <w:ind w:left="360"/>
      </w:pPr>
      <w:r w:rsidRPr="0018411A">
        <w:t>Each row represents a unique combination of quarter, region, and energy type.</w:t>
      </w:r>
    </w:p>
    <w:p w14:paraId="1482C2EA" w14:textId="3EF873B7" w:rsidR="0018411A" w:rsidRPr="0018411A" w:rsidRDefault="0018411A" w:rsidP="00FD4B28">
      <w:pPr>
        <w:spacing w:before="120"/>
      </w:pPr>
      <w:r w:rsidRPr="0018411A">
        <w:rPr>
          <w:b/>
          <w:bCs/>
        </w:rPr>
        <w:t>2.2 Tools Used</w:t>
      </w:r>
    </w:p>
    <w:p w14:paraId="777C4825" w14:textId="77777777" w:rsidR="0018411A" w:rsidRPr="0018411A" w:rsidRDefault="0018411A" w:rsidP="00FD4B28">
      <w:pPr>
        <w:numPr>
          <w:ilvl w:val="0"/>
          <w:numId w:val="16"/>
        </w:numPr>
        <w:spacing w:before="120"/>
      </w:pPr>
      <w:r w:rsidRPr="0018411A">
        <w:rPr>
          <w:b/>
          <w:bCs/>
        </w:rPr>
        <w:t>Python 3.13</w:t>
      </w:r>
    </w:p>
    <w:p w14:paraId="75E8BC08" w14:textId="77777777" w:rsidR="0018411A" w:rsidRPr="0018411A" w:rsidRDefault="0018411A" w:rsidP="00FD4B28">
      <w:pPr>
        <w:numPr>
          <w:ilvl w:val="0"/>
          <w:numId w:val="16"/>
        </w:numPr>
        <w:spacing w:before="120"/>
      </w:pPr>
      <w:r w:rsidRPr="0018411A">
        <w:rPr>
          <w:b/>
          <w:bCs/>
        </w:rPr>
        <w:t>Pandas 2.3.2</w:t>
      </w:r>
    </w:p>
    <w:p w14:paraId="7C828433" w14:textId="77777777" w:rsidR="0018411A" w:rsidRPr="0018411A" w:rsidRDefault="0018411A" w:rsidP="00FD4B28">
      <w:pPr>
        <w:numPr>
          <w:ilvl w:val="0"/>
          <w:numId w:val="16"/>
        </w:numPr>
        <w:spacing w:before="120"/>
      </w:pPr>
      <w:r w:rsidRPr="0018411A">
        <w:rPr>
          <w:b/>
          <w:bCs/>
        </w:rPr>
        <w:t>VS Code</w:t>
      </w:r>
      <w:r w:rsidRPr="0018411A">
        <w:t xml:space="preserve"> (for script execution and file management)</w:t>
      </w:r>
    </w:p>
    <w:p w14:paraId="36169E20" w14:textId="1BDEAE12" w:rsidR="0018411A" w:rsidRPr="0018411A" w:rsidRDefault="0018411A" w:rsidP="00FD4B28">
      <w:pPr>
        <w:spacing w:before="120"/>
      </w:pPr>
      <w:r w:rsidRPr="0018411A">
        <w:rPr>
          <w:b/>
          <w:bCs/>
        </w:rPr>
        <w:t>2.3 Script Logic Summary</w:t>
      </w:r>
    </w:p>
    <w:p w14:paraId="1CBD065F" w14:textId="77777777" w:rsidR="0018411A" w:rsidRPr="0018411A" w:rsidRDefault="0018411A" w:rsidP="00FD4B28">
      <w:pPr>
        <w:spacing w:before="120"/>
      </w:pPr>
      <w:r w:rsidRPr="0018411A">
        <w:t>The script follows these steps:</w:t>
      </w:r>
    </w:p>
    <w:p w14:paraId="1AAA2EB3" w14:textId="77777777" w:rsidR="0018411A" w:rsidRPr="0018411A" w:rsidRDefault="0018411A" w:rsidP="00FD4B28">
      <w:pPr>
        <w:numPr>
          <w:ilvl w:val="0"/>
          <w:numId w:val="17"/>
        </w:numPr>
        <w:spacing w:before="120"/>
      </w:pPr>
      <w:r w:rsidRPr="0018411A">
        <w:rPr>
          <w:b/>
          <w:bCs/>
        </w:rPr>
        <w:t>Define categorical dimensions</w:t>
      </w:r>
    </w:p>
    <w:p w14:paraId="0DCE47BF" w14:textId="77777777" w:rsidR="0018411A" w:rsidRPr="0018411A" w:rsidRDefault="0018411A" w:rsidP="00FD4B28">
      <w:pPr>
        <w:numPr>
          <w:ilvl w:val="1"/>
          <w:numId w:val="17"/>
        </w:numPr>
        <w:spacing w:before="120"/>
      </w:pPr>
      <w:r w:rsidRPr="0018411A">
        <w:t>Quarters (Q1–Q4 across 3 years)</w:t>
      </w:r>
    </w:p>
    <w:p w14:paraId="3DA31F23" w14:textId="77777777" w:rsidR="0018411A" w:rsidRPr="0018411A" w:rsidRDefault="0018411A" w:rsidP="00FD4B28">
      <w:pPr>
        <w:numPr>
          <w:ilvl w:val="1"/>
          <w:numId w:val="17"/>
        </w:numPr>
        <w:spacing w:before="120"/>
      </w:pPr>
      <w:r w:rsidRPr="0018411A">
        <w:lastRenderedPageBreak/>
        <w:t>Regions</w:t>
      </w:r>
    </w:p>
    <w:p w14:paraId="35EE56C2" w14:textId="77777777" w:rsidR="0018411A" w:rsidRPr="0018411A" w:rsidRDefault="0018411A" w:rsidP="00FD4B28">
      <w:pPr>
        <w:numPr>
          <w:ilvl w:val="1"/>
          <w:numId w:val="17"/>
        </w:numPr>
        <w:spacing w:before="120"/>
      </w:pPr>
      <w:r w:rsidRPr="0018411A">
        <w:t>Energy types</w:t>
      </w:r>
    </w:p>
    <w:p w14:paraId="1383308A" w14:textId="77777777" w:rsidR="0018411A" w:rsidRPr="0018411A" w:rsidRDefault="0018411A" w:rsidP="00FD4B28">
      <w:pPr>
        <w:numPr>
          <w:ilvl w:val="0"/>
          <w:numId w:val="17"/>
        </w:numPr>
        <w:spacing w:before="120"/>
      </w:pPr>
      <w:r w:rsidRPr="0018411A">
        <w:rPr>
          <w:b/>
          <w:bCs/>
        </w:rPr>
        <w:t>Assign base values</w:t>
      </w:r>
      <w:r w:rsidRPr="0018411A">
        <w:br/>
        <w:t>Each energy type has a realistic base price (e.g., oil ≈ $70, LNG ≈ $9, solar ≈ $42).</w:t>
      </w:r>
    </w:p>
    <w:p w14:paraId="2AE9CC5D" w14:textId="77777777" w:rsidR="0018411A" w:rsidRPr="0018411A" w:rsidRDefault="0018411A" w:rsidP="00FD4B28">
      <w:pPr>
        <w:numPr>
          <w:ilvl w:val="0"/>
          <w:numId w:val="17"/>
        </w:numPr>
        <w:spacing w:before="120"/>
      </w:pPr>
      <w:r w:rsidRPr="0018411A">
        <w:rPr>
          <w:b/>
          <w:bCs/>
        </w:rPr>
        <w:t>Introduce controlled randomness</w:t>
      </w:r>
      <w:r w:rsidRPr="0018411A">
        <w:br/>
        <w:t>Random variation is applied to simulate real</w:t>
      </w:r>
      <w:r w:rsidRPr="0018411A">
        <w:noBreakHyphen/>
        <w:t>world fluctuations in:</w:t>
      </w:r>
    </w:p>
    <w:p w14:paraId="6651E865" w14:textId="77777777" w:rsidR="0018411A" w:rsidRPr="0018411A" w:rsidRDefault="0018411A" w:rsidP="00FD4B28">
      <w:pPr>
        <w:numPr>
          <w:ilvl w:val="1"/>
          <w:numId w:val="17"/>
        </w:numPr>
        <w:spacing w:before="120"/>
      </w:pPr>
      <w:r w:rsidRPr="0018411A">
        <w:t>Price</w:t>
      </w:r>
    </w:p>
    <w:p w14:paraId="6F4D5802" w14:textId="77777777" w:rsidR="0018411A" w:rsidRPr="0018411A" w:rsidRDefault="0018411A" w:rsidP="00FD4B28">
      <w:pPr>
        <w:numPr>
          <w:ilvl w:val="1"/>
          <w:numId w:val="17"/>
        </w:numPr>
        <w:spacing w:before="120"/>
      </w:pPr>
      <w:r w:rsidRPr="0018411A">
        <w:t>Production</w:t>
      </w:r>
    </w:p>
    <w:p w14:paraId="05364575" w14:textId="77777777" w:rsidR="0018411A" w:rsidRPr="0018411A" w:rsidRDefault="0018411A" w:rsidP="00FD4B28">
      <w:pPr>
        <w:numPr>
          <w:ilvl w:val="1"/>
          <w:numId w:val="17"/>
        </w:numPr>
        <w:spacing w:before="120"/>
      </w:pPr>
      <w:r w:rsidRPr="0018411A">
        <w:t>Consumption</w:t>
      </w:r>
    </w:p>
    <w:p w14:paraId="0A7DF070" w14:textId="77777777" w:rsidR="007D1452" w:rsidRDefault="0018411A" w:rsidP="00FD4B28">
      <w:pPr>
        <w:numPr>
          <w:ilvl w:val="1"/>
          <w:numId w:val="17"/>
        </w:numPr>
        <w:spacing w:before="120"/>
      </w:pPr>
      <w:r w:rsidRPr="0018411A">
        <w:t>Imports/exports</w:t>
      </w:r>
    </w:p>
    <w:p w14:paraId="4537CAC6" w14:textId="77777777" w:rsidR="007D1452" w:rsidRDefault="007D1452" w:rsidP="00FD4B28">
      <w:pPr>
        <w:numPr>
          <w:ilvl w:val="1"/>
          <w:numId w:val="17"/>
        </w:numPr>
        <w:spacing w:before="120"/>
      </w:pPr>
      <w:r w:rsidRPr="007D1452">
        <w:t>Storage levels</w:t>
      </w:r>
    </w:p>
    <w:p w14:paraId="26D9EF38" w14:textId="1F4F6DE6" w:rsidR="007D1452" w:rsidRPr="007D1452" w:rsidRDefault="007D1452" w:rsidP="00FD4B28">
      <w:pPr>
        <w:numPr>
          <w:ilvl w:val="1"/>
          <w:numId w:val="17"/>
        </w:numPr>
        <w:spacing w:before="120"/>
      </w:pPr>
      <w:r w:rsidRPr="007D1452">
        <w:t>Renewable share</w:t>
      </w:r>
    </w:p>
    <w:p w14:paraId="11BB001A" w14:textId="77777777" w:rsidR="007D1452" w:rsidRPr="007D1452" w:rsidRDefault="007D1452" w:rsidP="00FD4B28">
      <w:pPr>
        <w:numPr>
          <w:ilvl w:val="1"/>
          <w:numId w:val="18"/>
        </w:numPr>
        <w:spacing w:before="120"/>
      </w:pPr>
      <w:r w:rsidRPr="007D1452">
        <w:t>Volatility</w:t>
      </w:r>
    </w:p>
    <w:p w14:paraId="4DFFA73B" w14:textId="77777777" w:rsidR="007D1452" w:rsidRPr="007D1452" w:rsidRDefault="007D1452" w:rsidP="00FD4B28">
      <w:pPr>
        <w:numPr>
          <w:ilvl w:val="1"/>
          <w:numId w:val="18"/>
        </w:numPr>
        <w:spacing w:before="120"/>
      </w:pPr>
      <w:r w:rsidRPr="007D1452">
        <w:t>Market balance</w:t>
      </w:r>
    </w:p>
    <w:p w14:paraId="63BF6EB4" w14:textId="389274E1" w:rsidR="007D1452" w:rsidRPr="007D1452" w:rsidRDefault="007D1452" w:rsidP="00FD4B28">
      <w:pPr>
        <w:pStyle w:val="ListParagraph"/>
        <w:numPr>
          <w:ilvl w:val="0"/>
          <w:numId w:val="17"/>
        </w:numPr>
        <w:spacing w:before="120"/>
      </w:pPr>
      <w:r w:rsidRPr="007D1452">
        <w:rPr>
          <w:b/>
          <w:bCs/>
        </w:rPr>
        <w:t>Generate shock indicators</w:t>
      </w:r>
      <w:r w:rsidRPr="007D1452">
        <w:br/>
        <w:t>Binary variables (0/1) simulate:</w:t>
      </w:r>
    </w:p>
    <w:p w14:paraId="4206DB4A" w14:textId="77777777" w:rsidR="007D1452" w:rsidRPr="007D1452" w:rsidRDefault="007D1452" w:rsidP="00FD4B28">
      <w:pPr>
        <w:numPr>
          <w:ilvl w:val="0"/>
          <w:numId w:val="19"/>
        </w:numPr>
        <w:spacing w:before="120"/>
      </w:pPr>
      <w:r w:rsidRPr="007D1452">
        <w:t>Geopolitical events</w:t>
      </w:r>
    </w:p>
    <w:p w14:paraId="1C176EF1" w14:textId="77777777" w:rsidR="007D1452" w:rsidRPr="007D1452" w:rsidRDefault="007D1452" w:rsidP="00FD4B28">
      <w:pPr>
        <w:numPr>
          <w:ilvl w:val="0"/>
          <w:numId w:val="19"/>
        </w:numPr>
        <w:spacing w:before="120"/>
      </w:pPr>
      <w:r w:rsidRPr="007D1452">
        <w:t>Extreme weather</w:t>
      </w:r>
    </w:p>
    <w:p w14:paraId="4A07CAD9" w14:textId="77777777" w:rsidR="007D1452" w:rsidRPr="007D1452" w:rsidRDefault="007D1452" w:rsidP="00FD4B28">
      <w:pPr>
        <w:numPr>
          <w:ilvl w:val="0"/>
          <w:numId w:val="19"/>
        </w:numPr>
        <w:spacing w:before="120"/>
      </w:pPr>
      <w:r w:rsidRPr="007D1452">
        <w:t>Regulatory changes</w:t>
      </w:r>
    </w:p>
    <w:p w14:paraId="27FDC29F" w14:textId="77777777" w:rsidR="007D1452" w:rsidRPr="007D1452" w:rsidRDefault="007D1452" w:rsidP="00FD4B28">
      <w:pPr>
        <w:numPr>
          <w:ilvl w:val="0"/>
          <w:numId w:val="19"/>
        </w:numPr>
        <w:spacing w:before="120"/>
      </w:pPr>
      <w:r w:rsidRPr="007D1452">
        <w:t>Supply chain disruptions</w:t>
      </w:r>
    </w:p>
    <w:p w14:paraId="4D2014CB" w14:textId="63F71001" w:rsidR="007D1452" w:rsidRPr="007D1452" w:rsidRDefault="007D1452" w:rsidP="00FD4B28">
      <w:pPr>
        <w:pStyle w:val="ListParagraph"/>
        <w:numPr>
          <w:ilvl w:val="0"/>
          <w:numId w:val="17"/>
        </w:numPr>
        <w:spacing w:before="120"/>
      </w:pPr>
      <w:r w:rsidRPr="007D1452">
        <w:rPr>
          <w:b/>
          <w:bCs/>
        </w:rPr>
        <w:t>Calculate derived variables</w:t>
      </w:r>
    </w:p>
    <w:p w14:paraId="62CA9113" w14:textId="77777777" w:rsidR="007D1452" w:rsidRPr="007D1452" w:rsidRDefault="007D1452" w:rsidP="00FD4B28">
      <w:pPr>
        <w:numPr>
          <w:ilvl w:val="0"/>
          <w:numId w:val="20"/>
        </w:numPr>
        <w:spacing w:before="120"/>
      </w:pPr>
      <w:r w:rsidRPr="007D1452">
        <w:t>Supply–demand gap = production − consumption</w:t>
      </w:r>
    </w:p>
    <w:p w14:paraId="102C843C" w14:textId="77777777" w:rsidR="007D1452" w:rsidRPr="007D1452" w:rsidRDefault="007D1452" w:rsidP="00FD4B28">
      <w:pPr>
        <w:numPr>
          <w:ilvl w:val="0"/>
          <w:numId w:val="20"/>
        </w:numPr>
        <w:spacing w:before="120"/>
      </w:pPr>
      <w:r w:rsidRPr="007D1452">
        <w:t>Market balance index = (exports − imports) / 100</w:t>
      </w:r>
    </w:p>
    <w:p w14:paraId="16D9AEB7" w14:textId="23134307" w:rsidR="007D1452" w:rsidRPr="007D1452" w:rsidRDefault="007D1452" w:rsidP="00FD4B28">
      <w:pPr>
        <w:pStyle w:val="ListParagraph"/>
        <w:numPr>
          <w:ilvl w:val="0"/>
          <w:numId w:val="17"/>
        </w:numPr>
        <w:spacing w:before="120"/>
      </w:pPr>
      <w:r w:rsidRPr="007D1452">
        <w:rPr>
          <w:b/>
          <w:bCs/>
        </w:rPr>
        <w:t>Export the dataset</w:t>
      </w:r>
    </w:p>
    <w:p w14:paraId="38106FCF" w14:textId="77777777" w:rsidR="007D1452" w:rsidRPr="007D1452" w:rsidRDefault="007D1452" w:rsidP="00FD4B28">
      <w:pPr>
        <w:numPr>
          <w:ilvl w:val="0"/>
          <w:numId w:val="21"/>
        </w:numPr>
        <w:spacing w:before="120"/>
      </w:pPr>
      <w:r w:rsidRPr="007D1452">
        <w:t>CSV file</w:t>
      </w:r>
    </w:p>
    <w:p w14:paraId="0EFD90E9" w14:textId="070E256D" w:rsidR="00FD4B28" w:rsidRPr="00F83602" w:rsidRDefault="007D1452" w:rsidP="00FD4B28">
      <w:pPr>
        <w:numPr>
          <w:ilvl w:val="0"/>
          <w:numId w:val="21"/>
        </w:numPr>
        <w:spacing w:before="120"/>
      </w:pPr>
      <w:r w:rsidRPr="007D1452">
        <w:lastRenderedPageBreak/>
        <w:t>JSON file</w:t>
      </w:r>
    </w:p>
    <w:p w14:paraId="540D6356" w14:textId="5491860E" w:rsidR="00F83602" w:rsidRPr="00F83602" w:rsidRDefault="007D1452" w:rsidP="00F83602">
      <w:pPr>
        <w:pStyle w:val="Heading2"/>
      </w:pPr>
      <w:r w:rsidRPr="007D1452">
        <w:t>3. Variable Definitions</w:t>
      </w:r>
    </w:p>
    <w:tbl>
      <w:tblPr>
        <w:tblStyle w:val="TableGrid"/>
        <w:tblW w:w="0" w:type="auto"/>
        <w:tblLook w:val="04A0" w:firstRow="1" w:lastRow="0" w:firstColumn="1" w:lastColumn="0" w:noHBand="0" w:noVBand="1"/>
      </w:tblPr>
      <w:tblGrid>
        <w:gridCol w:w="4508"/>
        <w:gridCol w:w="4508"/>
      </w:tblGrid>
      <w:tr w:rsidR="00FD4B28" w:rsidRPr="00F83602" w14:paraId="7D2B5DFC" w14:textId="77777777">
        <w:tc>
          <w:tcPr>
            <w:tcW w:w="4508" w:type="dxa"/>
          </w:tcPr>
          <w:p w14:paraId="0CEC6428" w14:textId="77777777" w:rsidR="00FD4B28" w:rsidRPr="00F83602" w:rsidRDefault="00FD4B28" w:rsidP="00FD4B28">
            <w:pPr>
              <w:spacing w:before="120" w:after="120" w:line="360" w:lineRule="auto"/>
              <w:rPr>
                <w:b/>
                <w:bCs/>
              </w:rPr>
            </w:pPr>
            <w:r w:rsidRPr="00F83602">
              <w:rPr>
                <w:b/>
                <w:bCs/>
              </w:rPr>
              <w:t>Variable</w:t>
            </w:r>
          </w:p>
        </w:tc>
        <w:tc>
          <w:tcPr>
            <w:tcW w:w="4508" w:type="dxa"/>
          </w:tcPr>
          <w:p w14:paraId="63CAFBD1" w14:textId="77777777" w:rsidR="00FD4B28" w:rsidRPr="00F83602" w:rsidRDefault="00FD4B28" w:rsidP="00FD4B28">
            <w:pPr>
              <w:spacing w:before="120" w:after="120" w:line="360" w:lineRule="auto"/>
              <w:rPr>
                <w:b/>
                <w:bCs/>
              </w:rPr>
            </w:pPr>
            <w:r w:rsidRPr="00F83602">
              <w:rPr>
                <w:b/>
                <w:bCs/>
              </w:rPr>
              <w:t xml:space="preserve"> Description</w:t>
            </w:r>
          </w:p>
        </w:tc>
      </w:tr>
      <w:tr w:rsidR="00FD4B28" w:rsidRPr="00FD4B28" w14:paraId="344F7A05" w14:textId="77777777">
        <w:tc>
          <w:tcPr>
            <w:tcW w:w="4508" w:type="dxa"/>
          </w:tcPr>
          <w:p w14:paraId="03C17D51" w14:textId="77777777" w:rsidR="00FD4B28" w:rsidRPr="00FD4B28" w:rsidRDefault="00FD4B28" w:rsidP="00FD4B28">
            <w:pPr>
              <w:spacing w:before="120" w:after="120" w:line="360" w:lineRule="auto"/>
            </w:pPr>
            <w:r w:rsidRPr="00FD4B28">
              <w:t>quarter</w:t>
            </w:r>
          </w:p>
        </w:tc>
        <w:tc>
          <w:tcPr>
            <w:tcW w:w="4508" w:type="dxa"/>
          </w:tcPr>
          <w:p w14:paraId="30F14E24" w14:textId="77777777" w:rsidR="00FD4B28" w:rsidRPr="00FD4B28" w:rsidRDefault="00FD4B28" w:rsidP="00FD4B28">
            <w:pPr>
              <w:spacing w:before="120" w:after="120" w:line="360" w:lineRule="auto"/>
            </w:pPr>
            <w:r w:rsidRPr="00FD4B28">
              <w:t xml:space="preserve"> Time period (Q1–Q4 across 3 years)</w:t>
            </w:r>
          </w:p>
        </w:tc>
      </w:tr>
      <w:tr w:rsidR="00FD4B28" w:rsidRPr="00FD4B28" w14:paraId="29BF4366" w14:textId="77777777">
        <w:tc>
          <w:tcPr>
            <w:tcW w:w="4508" w:type="dxa"/>
          </w:tcPr>
          <w:p w14:paraId="6808DB78" w14:textId="77777777" w:rsidR="00FD4B28" w:rsidRPr="00FD4B28" w:rsidRDefault="00FD4B28" w:rsidP="00FD4B28">
            <w:pPr>
              <w:spacing w:before="120" w:after="120" w:line="360" w:lineRule="auto"/>
            </w:pPr>
            <w:r w:rsidRPr="00FD4B28">
              <w:t>region</w:t>
            </w:r>
          </w:p>
        </w:tc>
        <w:tc>
          <w:tcPr>
            <w:tcW w:w="4508" w:type="dxa"/>
          </w:tcPr>
          <w:p w14:paraId="36D879A3" w14:textId="77777777" w:rsidR="00FD4B28" w:rsidRPr="00FD4B28" w:rsidRDefault="00FD4B28" w:rsidP="00FD4B28">
            <w:pPr>
              <w:spacing w:before="120" w:after="120" w:line="360" w:lineRule="auto"/>
            </w:pPr>
            <w:r w:rsidRPr="00FD4B28">
              <w:t xml:space="preserve"> Geographic region (6 total)</w:t>
            </w:r>
          </w:p>
        </w:tc>
      </w:tr>
      <w:tr w:rsidR="00FD4B28" w:rsidRPr="00FD4B28" w14:paraId="78950BBE" w14:textId="77777777">
        <w:tc>
          <w:tcPr>
            <w:tcW w:w="4508" w:type="dxa"/>
          </w:tcPr>
          <w:p w14:paraId="29896A16" w14:textId="77777777" w:rsidR="00FD4B28" w:rsidRPr="00FD4B28" w:rsidRDefault="00FD4B28" w:rsidP="00FD4B28">
            <w:pPr>
              <w:spacing w:before="120" w:after="120" w:line="360" w:lineRule="auto"/>
            </w:pPr>
            <w:proofErr w:type="spellStart"/>
            <w:r w:rsidRPr="00FD4B28">
              <w:t>energy_type</w:t>
            </w:r>
            <w:proofErr w:type="spellEnd"/>
          </w:p>
        </w:tc>
        <w:tc>
          <w:tcPr>
            <w:tcW w:w="4508" w:type="dxa"/>
          </w:tcPr>
          <w:p w14:paraId="17B79327" w14:textId="77777777" w:rsidR="00FD4B28" w:rsidRPr="00FD4B28" w:rsidRDefault="00FD4B28" w:rsidP="00FD4B28">
            <w:pPr>
              <w:spacing w:before="120" w:after="120" w:line="360" w:lineRule="auto"/>
            </w:pPr>
            <w:r w:rsidRPr="00FD4B28">
              <w:t xml:space="preserve"> Energy category (7 types)</w:t>
            </w:r>
          </w:p>
        </w:tc>
      </w:tr>
      <w:tr w:rsidR="00FD4B28" w:rsidRPr="00FD4B28" w14:paraId="1985B49F" w14:textId="77777777">
        <w:tc>
          <w:tcPr>
            <w:tcW w:w="4508" w:type="dxa"/>
          </w:tcPr>
          <w:p w14:paraId="08F06A4B" w14:textId="77777777" w:rsidR="00FD4B28" w:rsidRPr="00FD4B28" w:rsidRDefault="00FD4B28" w:rsidP="00FD4B28">
            <w:pPr>
              <w:spacing w:before="120" w:after="120" w:line="360" w:lineRule="auto"/>
            </w:pPr>
            <w:proofErr w:type="spellStart"/>
            <w:r w:rsidRPr="00FD4B28">
              <w:t>price_usd_per_unit</w:t>
            </w:r>
            <w:proofErr w:type="spellEnd"/>
          </w:p>
        </w:tc>
        <w:tc>
          <w:tcPr>
            <w:tcW w:w="4508" w:type="dxa"/>
          </w:tcPr>
          <w:p w14:paraId="0A2A72E0" w14:textId="77777777" w:rsidR="00FD4B28" w:rsidRPr="00FD4B28" w:rsidRDefault="00FD4B28" w:rsidP="00FD4B28">
            <w:pPr>
              <w:spacing w:before="120" w:after="120" w:line="360" w:lineRule="auto"/>
            </w:pPr>
            <w:r w:rsidRPr="00FD4B28">
              <w:t xml:space="preserve"> Simulated market price per unit</w:t>
            </w:r>
          </w:p>
        </w:tc>
      </w:tr>
      <w:tr w:rsidR="00FD4B28" w:rsidRPr="00FD4B28" w14:paraId="1A061579" w14:textId="77777777">
        <w:tc>
          <w:tcPr>
            <w:tcW w:w="4508" w:type="dxa"/>
          </w:tcPr>
          <w:p w14:paraId="396F08E9" w14:textId="77777777" w:rsidR="00FD4B28" w:rsidRPr="00FD4B28" w:rsidRDefault="00FD4B28" w:rsidP="00FD4B28">
            <w:pPr>
              <w:spacing w:before="120" w:after="120" w:line="360" w:lineRule="auto"/>
            </w:pPr>
            <w:proofErr w:type="spellStart"/>
            <w:r w:rsidRPr="00FD4B28">
              <w:t>production_volume</w:t>
            </w:r>
            <w:proofErr w:type="spellEnd"/>
          </w:p>
        </w:tc>
        <w:tc>
          <w:tcPr>
            <w:tcW w:w="4508" w:type="dxa"/>
          </w:tcPr>
          <w:p w14:paraId="73B5A19E" w14:textId="77777777" w:rsidR="00FD4B28" w:rsidRPr="00FD4B28" w:rsidRDefault="00FD4B28" w:rsidP="00FD4B28">
            <w:pPr>
              <w:spacing w:before="120" w:after="120" w:line="360" w:lineRule="auto"/>
            </w:pPr>
            <w:r w:rsidRPr="00FD4B28">
              <w:t xml:space="preserve"> Units produced in the quarter</w:t>
            </w:r>
          </w:p>
        </w:tc>
      </w:tr>
      <w:tr w:rsidR="00FD4B28" w:rsidRPr="00FD4B28" w14:paraId="4AB87151" w14:textId="77777777">
        <w:tc>
          <w:tcPr>
            <w:tcW w:w="4508" w:type="dxa"/>
          </w:tcPr>
          <w:p w14:paraId="76728C29" w14:textId="77777777" w:rsidR="00FD4B28" w:rsidRPr="00FD4B28" w:rsidRDefault="00FD4B28" w:rsidP="00FD4B28">
            <w:pPr>
              <w:spacing w:before="120" w:after="120" w:line="360" w:lineRule="auto"/>
            </w:pPr>
            <w:proofErr w:type="spellStart"/>
            <w:r w:rsidRPr="00FD4B28">
              <w:t>consumption_volume</w:t>
            </w:r>
            <w:proofErr w:type="spellEnd"/>
          </w:p>
        </w:tc>
        <w:tc>
          <w:tcPr>
            <w:tcW w:w="4508" w:type="dxa"/>
          </w:tcPr>
          <w:p w14:paraId="2377EC7E" w14:textId="77777777" w:rsidR="00FD4B28" w:rsidRPr="00FD4B28" w:rsidRDefault="00FD4B28" w:rsidP="00FD4B28">
            <w:pPr>
              <w:spacing w:before="120" w:after="120" w:line="360" w:lineRule="auto"/>
            </w:pPr>
            <w:r w:rsidRPr="00FD4B28">
              <w:t xml:space="preserve"> Units consumed in the quarter</w:t>
            </w:r>
          </w:p>
        </w:tc>
      </w:tr>
      <w:tr w:rsidR="00FD4B28" w:rsidRPr="00FD4B28" w14:paraId="4696E8A2" w14:textId="77777777">
        <w:tc>
          <w:tcPr>
            <w:tcW w:w="4508" w:type="dxa"/>
          </w:tcPr>
          <w:p w14:paraId="20E01E93" w14:textId="77777777" w:rsidR="00FD4B28" w:rsidRPr="00FD4B28" w:rsidRDefault="00FD4B28" w:rsidP="00FD4B28">
            <w:pPr>
              <w:spacing w:before="120" w:after="120" w:line="360" w:lineRule="auto"/>
            </w:pPr>
            <w:proofErr w:type="spellStart"/>
            <w:r w:rsidRPr="00FD4B28">
              <w:t>import_volume</w:t>
            </w:r>
            <w:proofErr w:type="spellEnd"/>
          </w:p>
        </w:tc>
        <w:tc>
          <w:tcPr>
            <w:tcW w:w="4508" w:type="dxa"/>
          </w:tcPr>
          <w:p w14:paraId="5101A154" w14:textId="77777777" w:rsidR="00FD4B28" w:rsidRPr="00FD4B28" w:rsidRDefault="00FD4B28" w:rsidP="00FD4B28">
            <w:pPr>
              <w:spacing w:before="120" w:after="120" w:line="360" w:lineRule="auto"/>
            </w:pPr>
            <w:r w:rsidRPr="00FD4B28">
              <w:t xml:space="preserve"> Imported units</w:t>
            </w:r>
          </w:p>
        </w:tc>
      </w:tr>
      <w:tr w:rsidR="00FD4B28" w:rsidRPr="00FD4B28" w14:paraId="36C8399B" w14:textId="77777777">
        <w:tc>
          <w:tcPr>
            <w:tcW w:w="4508" w:type="dxa"/>
          </w:tcPr>
          <w:p w14:paraId="266775E1" w14:textId="77777777" w:rsidR="00FD4B28" w:rsidRPr="00FD4B28" w:rsidRDefault="00FD4B28" w:rsidP="00FD4B28">
            <w:pPr>
              <w:spacing w:before="120" w:after="120" w:line="360" w:lineRule="auto"/>
            </w:pPr>
            <w:proofErr w:type="spellStart"/>
            <w:r w:rsidRPr="00FD4B28">
              <w:t>export_volume</w:t>
            </w:r>
            <w:proofErr w:type="spellEnd"/>
          </w:p>
        </w:tc>
        <w:tc>
          <w:tcPr>
            <w:tcW w:w="4508" w:type="dxa"/>
          </w:tcPr>
          <w:p w14:paraId="6A220936" w14:textId="77777777" w:rsidR="00FD4B28" w:rsidRPr="00FD4B28" w:rsidRDefault="00FD4B28" w:rsidP="00FD4B28">
            <w:pPr>
              <w:spacing w:before="120" w:after="120" w:line="360" w:lineRule="auto"/>
            </w:pPr>
            <w:r w:rsidRPr="00FD4B28">
              <w:t xml:space="preserve"> Exported units</w:t>
            </w:r>
          </w:p>
        </w:tc>
      </w:tr>
      <w:tr w:rsidR="00FD4B28" w:rsidRPr="00FD4B28" w14:paraId="3B95DC67" w14:textId="77777777">
        <w:tc>
          <w:tcPr>
            <w:tcW w:w="4508" w:type="dxa"/>
          </w:tcPr>
          <w:p w14:paraId="3A56B2BF" w14:textId="77777777" w:rsidR="00FD4B28" w:rsidRPr="00FD4B28" w:rsidRDefault="00FD4B28" w:rsidP="00FD4B28">
            <w:pPr>
              <w:spacing w:before="120" w:after="120" w:line="360" w:lineRule="auto"/>
            </w:pPr>
            <w:proofErr w:type="spellStart"/>
            <w:r w:rsidRPr="00FD4B28">
              <w:t>storage_level</w:t>
            </w:r>
            <w:proofErr w:type="spellEnd"/>
          </w:p>
        </w:tc>
        <w:tc>
          <w:tcPr>
            <w:tcW w:w="4508" w:type="dxa"/>
          </w:tcPr>
          <w:p w14:paraId="2B140F26" w14:textId="77777777" w:rsidR="00FD4B28" w:rsidRPr="00FD4B28" w:rsidRDefault="00FD4B28" w:rsidP="00FD4B28">
            <w:pPr>
              <w:spacing w:before="120" w:after="120" w:line="360" w:lineRule="auto"/>
            </w:pPr>
            <w:r w:rsidRPr="00FD4B28">
              <w:t xml:space="preserve"> Storage percentage (45–85%)</w:t>
            </w:r>
          </w:p>
        </w:tc>
      </w:tr>
      <w:tr w:rsidR="00FD4B28" w:rsidRPr="00FD4B28" w14:paraId="69CFF028" w14:textId="77777777">
        <w:tc>
          <w:tcPr>
            <w:tcW w:w="4508" w:type="dxa"/>
          </w:tcPr>
          <w:p w14:paraId="7F352CB6" w14:textId="77777777" w:rsidR="00FD4B28" w:rsidRPr="00FD4B28" w:rsidRDefault="00FD4B28" w:rsidP="00FD4B28">
            <w:pPr>
              <w:spacing w:before="120" w:after="120" w:line="360" w:lineRule="auto"/>
            </w:pPr>
            <w:proofErr w:type="spellStart"/>
            <w:r w:rsidRPr="00FD4B28">
              <w:t>renewable_share</w:t>
            </w:r>
            <w:proofErr w:type="spellEnd"/>
          </w:p>
        </w:tc>
        <w:tc>
          <w:tcPr>
            <w:tcW w:w="4508" w:type="dxa"/>
          </w:tcPr>
          <w:p w14:paraId="36014564" w14:textId="77777777" w:rsidR="00FD4B28" w:rsidRPr="00FD4B28" w:rsidRDefault="00FD4B28" w:rsidP="00FD4B28">
            <w:pPr>
              <w:spacing w:before="120" w:after="120" w:line="360" w:lineRule="auto"/>
            </w:pPr>
            <w:r w:rsidRPr="00FD4B28">
              <w:t xml:space="preserve"> Renewable percentage (10–30%)</w:t>
            </w:r>
          </w:p>
        </w:tc>
      </w:tr>
      <w:tr w:rsidR="00FD4B28" w:rsidRPr="00FD4B28" w14:paraId="6C0CEFC5" w14:textId="77777777">
        <w:tc>
          <w:tcPr>
            <w:tcW w:w="4508" w:type="dxa"/>
          </w:tcPr>
          <w:p w14:paraId="693D1EC6" w14:textId="77777777" w:rsidR="00FD4B28" w:rsidRPr="00FD4B28" w:rsidRDefault="00FD4B28" w:rsidP="00FD4B28">
            <w:pPr>
              <w:spacing w:before="120" w:after="120" w:line="360" w:lineRule="auto"/>
            </w:pPr>
            <w:proofErr w:type="spellStart"/>
            <w:r w:rsidRPr="00FD4B28">
              <w:t>supply_demand_gap</w:t>
            </w:r>
            <w:proofErr w:type="spellEnd"/>
          </w:p>
        </w:tc>
        <w:tc>
          <w:tcPr>
            <w:tcW w:w="4508" w:type="dxa"/>
          </w:tcPr>
          <w:p w14:paraId="68D26F83" w14:textId="77777777" w:rsidR="00FD4B28" w:rsidRPr="00FD4B28" w:rsidRDefault="00FD4B28" w:rsidP="00FD4B28">
            <w:pPr>
              <w:spacing w:before="120" w:after="120" w:line="360" w:lineRule="auto"/>
            </w:pPr>
            <w:r w:rsidRPr="00FD4B28">
              <w:t xml:space="preserve"> Production minus consumption</w:t>
            </w:r>
          </w:p>
        </w:tc>
      </w:tr>
      <w:tr w:rsidR="00FD4B28" w:rsidRPr="00FD4B28" w14:paraId="7C077DD9" w14:textId="77777777">
        <w:tc>
          <w:tcPr>
            <w:tcW w:w="4508" w:type="dxa"/>
          </w:tcPr>
          <w:p w14:paraId="47574A15" w14:textId="77777777" w:rsidR="00FD4B28" w:rsidRPr="00FD4B28" w:rsidRDefault="00FD4B28" w:rsidP="00FD4B28">
            <w:pPr>
              <w:spacing w:before="120" w:after="120" w:line="360" w:lineRule="auto"/>
            </w:pPr>
            <w:proofErr w:type="spellStart"/>
            <w:r w:rsidRPr="00FD4B28">
              <w:t>price_volatility_index</w:t>
            </w:r>
            <w:proofErr w:type="spellEnd"/>
          </w:p>
        </w:tc>
        <w:tc>
          <w:tcPr>
            <w:tcW w:w="4508" w:type="dxa"/>
          </w:tcPr>
          <w:p w14:paraId="7AC1E8A8" w14:textId="77777777" w:rsidR="00FD4B28" w:rsidRPr="00FD4B28" w:rsidRDefault="00FD4B28" w:rsidP="00FD4B28">
            <w:pPr>
              <w:spacing w:before="120" w:after="120" w:line="360" w:lineRule="auto"/>
            </w:pPr>
            <w:r w:rsidRPr="00FD4B28">
              <w:t xml:space="preserve"> Volatility score (0.10–0.35)</w:t>
            </w:r>
          </w:p>
        </w:tc>
      </w:tr>
      <w:tr w:rsidR="00FD4B28" w:rsidRPr="00FD4B28" w14:paraId="5E3520BE" w14:textId="77777777">
        <w:tc>
          <w:tcPr>
            <w:tcW w:w="4508" w:type="dxa"/>
          </w:tcPr>
          <w:p w14:paraId="4673E1BF" w14:textId="77777777" w:rsidR="00FD4B28" w:rsidRPr="00FD4B28" w:rsidRDefault="00FD4B28" w:rsidP="00FD4B28">
            <w:pPr>
              <w:spacing w:before="120" w:after="120" w:line="360" w:lineRule="auto"/>
            </w:pPr>
            <w:proofErr w:type="spellStart"/>
            <w:r w:rsidRPr="00FD4B28">
              <w:t>market_balance_index</w:t>
            </w:r>
            <w:proofErr w:type="spellEnd"/>
          </w:p>
        </w:tc>
        <w:tc>
          <w:tcPr>
            <w:tcW w:w="4508" w:type="dxa"/>
          </w:tcPr>
          <w:p w14:paraId="66A83639" w14:textId="77777777" w:rsidR="00FD4B28" w:rsidRPr="00FD4B28" w:rsidRDefault="00FD4B28" w:rsidP="00FD4B28">
            <w:pPr>
              <w:spacing w:before="120" w:after="120" w:line="360" w:lineRule="auto"/>
            </w:pPr>
            <w:r w:rsidRPr="00FD4B28">
              <w:t xml:space="preserve"> (Exports − imports) / 100</w:t>
            </w:r>
          </w:p>
        </w:tc>
      </w:tr>
      <w:tr w:rsidR="00FD4B28" w:rsidRPr="00FD4B28" w14:paraId="71B9EA0C" w14:textId="77777777">
        <w:tc>
          <w:tcPr>
            <w:tcW w:w="4508" w:type="dxa"/>
          </w:tcPr>
          <w:p w14:paraId="3735F26A" w14:textId="77777777" w:rsidR="00FD4B28" w:rsidRPr="00FD4B28" w:rsidRDefault="00FD4B28" w:rsidP="00FD4B28">
            <w:pPr>
              <w:spacing w:before="120" w:after="120" w:line="360" w:lineRule="auto"/>
            </w:pPr>
            <w:proofErr w:type="spellStart"/>
            <w:r w:rsidRPr="00FD4B28">
              <w:t>geopolitical_event</w:t>
            </w:r>
            <w:proofErr w:type="spellEnd"/>
          </w:p>
        </w:tc>
        <w:tc>
          <w:tcPr>
            <w:tcW w:w="4508" w:type="dxa"/>
          </w:tcPr>
          <w:p w14:paraId="2BA19ABC" w14:textId="77777777" w:rsidR="00FD4B28" w:rsidRPr="00FD4B28" w:rsidRDefault="00FD4B28" w:rsidP="00FD4B28">
            <w:pPr>
              <w:spacing w:before="120" w:after="120" w:line="360" w:lineRule="auto"/>
            </w:pPr>
            <w:r w:rsidRPr="00FD4B28">
              <w:t xml:space="preserve"> 1 = geopolitical event occurred</w:t>
            </w:r>
          </w:p>
        </w:tc>
      </w:tr>
      <w:tr w:rsidR="00FD4B28" w:rsidRPr="00FD4B28" w14:paraId="157E45E8" w14:textId="77777777">
        <w:tc>
          <w:tcPr>
            <w:tcW w:w="4508" w:type="dxa"/>
          </w:tcPr>
          <w:p w14:paraId="0454C0B4" w14:textId="77777777" w:rsidR="00FD4B28" w:rsidRPr="00FD4B28" w:rsidRDefault="00FD4B28" w:rsidP="00FD4B28">
            <w:pPr>
              <w:spacing w:before="120" w:after="120" w:line="360" w:lineRule="auto"/>
            </w:pPr>
            <w:proofErr w:type="spellStart"/>
            <w:r w:rsidRPr="00FD4B28">
              <w:t>extreme_weather</w:t>
            </w:r>
            <w:proofErr w:type="spellEnd"/>
          </w:p>
        </w:tc>
        <w:tc>
          <w:tcPr>
            <w:tcW w:w="4508" w:type="dxa"/>
          </w:tcPr>
          <w:p w14:paraId="4271740F" w14:textId="77777777" w:rsidR="00FD4B28" w:rsidRPr="00FD4B28" w:rsidRDefault="00FD4B28" w:rsidP="00FD4B28">
            <w:pPr>
              <w:spacing w:before="120" w:after="120" w:line="360" w:lineRule="auto"/>
            </w:pPr>
            <w:r w:rsidRPr="00FD4B28">
              <w:t xml:space="preserve"> 1 = extreme weather event occurred</w:t>
            </w:r>
          </w:p>
        </w:tc>
      </w:tr>
      <w:tr w:rsidR="00FD4B28" w:rsidRPr="00FD4B28" w14:paraId="58CC455D" w14:textId="77777777">
        <w:tc>
          <w:tcPr>
            <w:tcW w:w="4508" w:type="dxa"/>
          </w:tcPr>
          <w:p w14:paraId="284CA2AF" w14:textId="77777777" w:rsidR="00FD4B28" w:rsidRPr="00FD4B28" w:rsidRDefault="00FD4B28" w:rsidP="00FD4B28">
            <w:pPr>
              <w:spacing w:before="120" w:after="120" w:line="360" w:lineRule="auto"/>
            </w:pPr>
            <w:proofErr w:type="spellStart"/>
            <w:r w:rsidRPr="00FD4B28">
              <w:t>regulatory_change</w:t>
            </w:r>
            <w:proofErr w:type="spellEnd"/>
          </w:p>
        </w:tc>
        <w:tc>
          <w:tcPr>
            <w:tcW w:w="4508" w:type="dxa"/>
          </w:tcPr>
          <w:p w14:paraId="1F09DF67" w14:textId="77777777" w:rsidR="00FD4B28" w:rsidRPr="00FD4B28" w:rsidRDefault="00FD4B28" w:rsidP="00FD4B28">
            <w:pPr>
              <w:spacing w:before="120" w:after="120" w:line="360" w:lineRule="auto"/>
            </w:pPr>
            <w:r w:rsidRPr="00FD4B28">
              <w:t xml:space="preserve"> 1 = regulatory change occurred</w:t>
            </w:r>
          </w:p>
        </w:tc>
      </w:tr>
      <w:tr w:rsidR="00FD4B28" w:rsidRPr="007D1452" w14:paraId="70B7763B" w14:textId="77777777">
        <w:tc>
          <w:tcPr>
            <w:tcW w:w="4508" w:type="dxa"/>
          </w:tcPr>
          <w:p w14:paraId="2F8DDD8C" w14:textId="77777777" w:rsidR="00FD4B28" w:rsidRPr="00FD4B28" w:rsidRDefault="00FD4B28" w:rsidP="00FD4B28">
            <w:pPr>
              <w:spacing w:before="120" w:after="120" w:line="360" w:lineRule="auto"/>
            </w:pPr>
            <w:proofErr w:type="spellStart"/>
            <w:r w:rsidRPr="00FD4B28">
              <w:t>supply_chain_disruption</w:t>
            </w:r>
            <w:proofErr w:type="spellEnd"/>
          </w:p>
        </w:tc>
        <w:tc>
          <w:tcPr>
            <w:tcW w:w="4508" w:type="dxa"/>
          </w:tcPr>
          <w:p w14:paraId="707918C0" w14:textId="77777777" w:rsidR="00FD4B28" w:rsidRPr="007D1452" w:rsidRDefault="00FD4B28" w:rsidP="00FD4B28">
            <w:pPr>
              <w:spacing w:before="120" w:after="120" w:line="360" w:lineRule="auto"/>
            </w:pPr>
            <w:r w:rsidRPr="00FD4B28">
              <w:t xml:space="preserve"> 1 = supply chain disruption occurred</w:t>
            </w:r>
          </w:p>
        </w:tc>
      </w:tr>
    </w:tbl>
    <w:p w14:paraId="78AA653A" w14:textId="77777777" w:rsidR="00FD4B28" w:rsidRDefault="00FD4B28" w:rsidP="00FD4B28">
      <w:pPr>
        <w:spacing w:before="120"/>
        <w:rPr>
          <w:b/>
          <w:bCs/>
        </w:rPr>
      </w:pPr>
    </w:p>
    <w:p w14:paraId="0FA74875" w14:textId="77777777" w:rsidR="00FD4B28" w:rsidRDefault="00FD4B28" w:rsidP="00FD4B28">
      <w:pPr>
        <w:spacing w:before="120"/>
        <w:rPr>
          <w:b/>
          <w:bCs/>
        </w:rPr>
      </w:pPr>
    </w:p>
    <w:p w14:paraId="6C832D24" w14:textId="76A0C271" w:rsidR="007D1452" w:rsidRPr="007D1452" w:rsidRDefault="007D1452" w:rsidP="00F83602">
      <w:pPr>
        <w:pStyle w:val="Heading2"/>
      </w:pPr>
      <w:r w:rsidRPr="007D1452">
        <w:t>4. Assumptions</w:t>
      </w:r>
    </w:p>
    <w:p w14:paraId="7F67B2D0" w14:textId="7519D46E" w:rsidR="007D1452" w:rsidRPr="007D1452" w:rsidRDefault="007D1452" w:rsidP="00FD4B28">
      <w:pPr>
        <w:spacing w:before="120"/>
      </w:pPr>
      <w:r w:rsidRPr="007D1452">
        <w:rPr>
          <w:b/>
          <w:bCs/>
        </w:rPr>
        <w:t>4.1 Market Behaviour</w:t>
      </w:r>
    </w:p>
    <w:p w14:paraId="4843D5C4" w14:textId="77777777" w:rsidR="007D1452" w:rsidRPr="007D1452" w:rsidRDefault="007D1452" w:rsidP="00FD4B28">
      <w:pPr>
        <w:numPr>
          <w:ilvl w:val="0"/>
          <w:numId w:val="22"/>
        </w:numPr>
        <w:spacing w:before="120"/>
      </w:pPr>
      <w:r w:rsidRPr="007D1452">
        <w:t>Prices fluctuate within realistic ranges for each energy type.</w:t>
      </w:r>
    </w:p>
    <w:p w14:paraId="6D6C91F3" w14:textId="77777777" w:rsidR="007D1452" w:rsidRPr="007D1452" w:rsidRDefault="007D1452" w:rsidP="00FD4B28">
      <w:pPr>
        <w:numPr>
          <w:ilvl w:val="0"/>
          <w:numId w:val="22"/>
        </w:numPr>
        <w:spacing w:before="120"/>
      </w:pPr>
      <w:r w:rsidRPr="007D1452">
        <w:t>Production and consumption vary by region and quarter.</w:t>
      </w:r>
    </w:p>
    <w:p w14:paraId="7927F7A2" w14:textId="77777777" w:rsidR="007D1452" w:rsidRPr="007D1452" w:rsidRDefault="007D1452" w:rsidP="00FD4B28">
      <w:pPr>
        <w:numPr>
          <w:ilvl w:val="0"/>
          <w:numId w:val="22"/>
        </w:numPr>
        <w:spacing w:before="120"/>
      </w:pPr>
      <w:r w:rsidRPr="007D1452">
        <w:t>Renewable share increases gradually over time.</w:t>
      </w:r>
    </w:p>
    <w:p w14:paraId="0D53F279" w14:textId="77777777" w:rsidR="007D1452" w:rsidRPr="007D1452" w:rsidRDefault="007D1452" w:rsidP="00FD4B28">
      <w:pPr>
        <w:numPr>
          <w:ilvl w:val="0"/>
          <w:numId w:val="22"/>
        </w:numPr>
        <w:spacing w:before="120"/>
      </w:pPr>
      <w:r w:rsidRPr="007D1452">
        <w:t>Shock events occur infrequently but impact volatility.</w:t>
      </w:r>
    </w:p>
    <w:p w14:paraId="6889BFBB" w14:textId="02E5C9A1" w:rsidR="007D1452" w:rsidRPr="007D1452" w:rsidRDefault="007D1452" w:rsidP="00FD4B28">
      <w:pPr>
        <w:spacing w:before="120"/>
      </w:pPr>
      <w:r w:rsidRPr="007D1452">
        <w:rPr>
          <w:b/>
          <w:bCs/>
        </w:rPr>
        <w:t>4.2 Regional Dynamics</w:t>
      </w:r>
    </w:p>
    <w:p w14:paraId="078D567C" w14:textId="77777777" w:rsidR="007D1452" w:rsidRPr="007D1452" w:rsidRDefault="007D1452" w:rsidP="00FD4B28">
      <w:pPr>
        <w:numPr>
          <w:ilvl w:val="0"/>
          <w:numId w:val="23"/>
        </w:numPr>
        <w:spacing w:before="120"/>
      </w:pPr>
      <w:r w:rsidRPr="007D1452">
        <w:t>Middle East has higher export volumes.</w:t>
      </w:r>
    </w:p>
    <w:p w14:paraId="543B7597" w14:textId="77777777" w:rsidR="007D1452" w:rsidRPr="007D1452" w:rsidRDefault="007D1452" w:rsidP="00FD4B28">
      <w:pPr>
        <w:numPr>
          <w:ilvl w:val="0"/>
          <w:numId w:val="23"/>
        </w:numPr>
        <w:spacing w:before="120"/>
      </w:pPr>
      <w:r w:rsidRPr="007D1452">
        <w:t>Asia</w:t>
      </w:r>
      <w:r w:rsidRPr="007D1452">
        <w:noBreakHyphen/>
        <w:t>Pacific shows higher production/consumption.</w:t>
      </w:r>
    </w:p>
    <w:p w14:paraId="081AF195" w14:textId="77777777" w:rsidR="007D1452" w:rsidRPr="007D1452" w:rsidRDefault="007D1452" w:rsidP="00FD4B28">
      <w:pPr>
        <w:numPr>
          <w:ilvl w:val="0"/>
          <w:numId w:val="23"/>
        </w:numPr>
        <w:spacing w:before="120"/>
      </w:pPr>
      <w:r w:rsidRPr="007D1452">
        <w:t>Europe and North America have higher renewable shares.</w:t>
      </w:r>
    </w:p>
    <w:p w14:paraId="0CB29ECC" w14:textId="5066DC68" w:rsidR="007D1452" w:rsidRPr="007D1452" w:rsidRDefault="007D1452" w:rsidP="00FD4B28">
      <w:pPr>
        <w:spacing w:before="120"/>
      </w:pPr>
      <w:r w:rsidRPr="007D1452">
        <w:rPr>
          <w:b/>
          <w:bCs/>
        </w:rPr>
        <w:t>4.3 Data Integrity</w:t>
      </w:r>
    </w:p>
    <w:p w14:paraId="3B82BE65" w14:textId="77777777" w:rsidR="007D1452" w:rsidRPr="007D1452" w:rsidRDefault="007D1452" w:rsidP="00FD4B28">
      <w:pPr>
        <w:numPr>
          <w:ilvl w:val="0"/>
          <w:numId w:val="24"/>
        </w:numPr>
        <w:spacing w:before="120"/>
      </w:pPr>
      <w:r w:rsidRPr="007D1452">
        <w:t>No missing values are generated.</w:t>
      </w:r>
    </w:p>
    <w:p w14:paraId="21CEEAB5" w14:textId="77777777" w:rsidR="007D1452" w:rsidRPr="007D1452" w:rsidRDefault="007D1452" w:rsidP="00FD4B28">
      <w:pPr>
        <w:numPr>
          <w:ilvl w:val="0"/>
          <w:numId w:val="24"/>
        </w:numPr>
        <w:spacing w:before="120"/>
      </w:pPr>
      <w:r w:rsidRPr="007D1452">
        <w:t>All variables fall within controlled ranges.</w:t>
      </w:r>
    </w:p>
    <w:p w14:paraId="1A0ED635" w14:textId="62699133" w:rsidR="007D1452" w:rsidRPr="007D1452" w:rsidRDefault="007D1452" w:rsidP="00F83602">
      <w:pPr>
        <w:pStyle w:val="Heading2"/>
      </w:pPr>
      <w:r w:rsidRPr="007D1452">
        <w:t>5. Validation Steps</w:t>
      </w:r>
    </w:p>
    <w:p w14:paraId="463C686D" w14:textId="61EE12C6" w:rsidR="007D1452" w:rsidRPr="007D1452" w:rsidRDefault="007D1452" w:rsidP="00FD4B28">
      <w:pPr>
        <w:spacing w:before="120"/>
      </w:pPr>
      <w:r w:rsidRPr="007D1452">
        <w:rPr>
          <w:b/>
          <w:bCs/>
        </w:rPr>
        <w:t>5.1 Structural Validation</w:t>
      </w:r>
    </w:p>
    <w:p w14:paraId="167EE7C8" w14:textId="77777777" w:rsidR="007D1452" w:rsidRPr="007D1452" w:rsidRDefault="007D1452" w:rsidP="00FD4B28">
      <w:pPr>
        <w:numPr>
          <w:ilvl w:val="0"/>
          <w:numId w:val="25"/>
        </w:numPr>
        <w:spacing w:before="120"/>
      </w:pPr>
      <w:r w:rsidRPr="007D1452">
        <w:t>Confirmed 504 rows (12 × 6 × 7).</w:t>
      </w:r>
    </w:p>
    <w:p w14:paraId="1D8E9064" w14:textId="77777777" w:rsidR="007D1452" w:rsidRPr="007D1452" w:rsidRDefault="007D1452" w:rsidP="00FD4B28">
      <w:pPr>
        <w:numPr>
          <w:ilvl w:val="0"/>
          <w:numId w:val="25"/>
        </w:numPr>
        <w:spacing w:before="120"/>
      </w:pPr>
      <w:r w:rsidRPr="007D1452">
        <w:t>Verified all 17 variables appear in each row.</w:t>
      </w:r>
    </w:p>
    <w:p w14:paraId="014610AB" w14:textId="77777777" w:rsidR="007D1452" w:rsidRPr="007D1452" w:rsidRDefault="007D1452" w:rsidP="00FD4B28">
      <w:pPr>
        <w:numPr>
          <w:ilvl w:val="0"/>
          <w:numId w:val="25"/>
        </w:numPr>
        <w:spacing w:before="120"/>
      </w:pPr>
      <w:r w:rsidRPr="007D1452">
        <w:t>Ensured CSV and JSON files exported correctly.</w:t>
      </w:r>
    </w:p>
    <w:p w14:paraId="77FA1668" w14:textId="608213DD" w:rsidR="007D1452" w:rsidRPr="007D1452" w:rsidRDefault="007D1452" w:rsidP="00FD4B28">
      <w:pPr>
        <w:spacing w:before="120"/>
      </w:pPr>
      <w:r w:rsidRPr="007D1452">
        <w:rPr>
          <w:b/>
          <w:bCs/>
        </w:rPr>
        <w:t>5.2 Range Checks</w:t>
      </w:r>
    </w:p>
    <w:p w14:paraId="503A8D04" w14:textId="77777777" w:rsidR="007D1452" w:rsidRPr="007D1452" w:rsidRDefault="007D1452" w:rsidP="00FD4B28">
      <w:pPr>
        <w:numPr>
          <w:ilvl w:val="0"/>
          <w:numId w:val="26"/>
        </w:numPr>
        <w:spacing w:before="120"/>
      </w:pPr>
      <w:r w:rsidRPr="007D1452">
        <w:t>Prices fall within expected ranges for each energy type.</w:t>
      </w:r>
    </w:p>
    <w:p w14:paraId="7140B3C8" w14:textId="77777777" w:rsidR="007D1452" w:rsidRPr="007D1452" w:rsidRDefault="007D1452" w:rsidP="00FD4B28">
      <w:pPr>
        <w:numPr>
          <w:ilvl w:val="0"/>
          <w:numId w:val="26"/>
        </w:numPr>
        <w:spacing w:before="120"/>
      </w:pPr>
      <w:r w:rsidRPr="007D1452">
        <w:t>Storage levels remain between 45–85%.</w:t>
      </w:r>
    </w:p>
    <w:p w14:paraId="5A3DFDFC" w14:textId="77777777" w:rsidR="007D1452" w:rsidRPr="007D1452" w:rsidRDefault="007D1452" w:rsidP="00FD4B28">
      <w:pPr>
        <w:numPr>
          <w:ilvl w:val="0"/>
          <w:numId w:val="26"/>
        </w:numPr>
        <w:spacing w:before="120"/>
      </w:pPr>
      <w:r w:rsidRPr="007D1452">
        <w:t>Renewable share remains between 10–30%.</w:t>
      </w:r>
    </w:p>
    <w:p w14:paraId="17458FFB" w14:textId="77777777" w:rsidR="007D1452" w:rsidRPr="007D1452" w:rsidRDefault="007D1452" w:rsidP="00FD4B28">
      <w:pPr>
        <w:numPr>
          <w:ilvl w:val="0"/>
          <w:numId w:val="26"/>
        </w:numPr>
        <w:spacing w:before="120"/>
      </w:pPr>
      <w:r w:rsidRPr="007D1452">
        <w:lastRenderedPageBreak/>
        <w:t>Volatility index remains between 0.10–0.35.</w:t>
      </w:r>
    </w:p>
    <w:p w14:paraId="62B14515" w14:textId="4B0FA587" w:rsidR="007D1452" w:rsidRPr="007D1452" w:rsidRDefault="007D1452" w:rsidP="00FD4B28">
      <w:pPr>
        <w:spacing w:before="120"/>
      </w:pPr>
      <w:r w:rsidRPr="007D1452">
        <w:rPr>
          <w:b/>
          <w:bCs/>
        </w:rPr>
        <w:t>5.3 Logical Consistency</w:t>
      </w:r>
    </w:p>
    <w:p w14:paraId="45B4199C" w14:textId="77777777" w:rsidR="007D1452" w:rsidRPr="007D1452" w:rsidRDefault="007D1452" w:rsidP="00FD4B28">
      <w:pPr>
        <w:numPr>
          <w:ilvl w:val="0"/>
          <w:numId w:val="27"/>
        </w:numPr>
        <w:spacing w:before="120"/>
      </w:pPr>
      <w:r w:rsidRPr="007D1452">
        <w:t>Supply–demand gap correctly calculated.</w:t>
      </w:r>
    </w:p>
    <w:p w14:paraId="29474D7D" w14:textId="77777777" w:rsidR="007D1452" w:rsidRPr="007D1452" w:rsidRDefault="007D1452" w:rsidP="00FD4B28">
      <w:pPr>
        <w:numPr>
          <w:ilvl w:val="0"/>
          <w:numId w:val="27"/>
        </w:numPr>
        <w:spacing w:before="120"/>
      </w:pPr>
      <w:r w:rsidRPr="007D1452">
        <w:t>Market balance index reflects import/export differences.</w:t>
      </w:r>
    </w:p>
    <w:p w14:paraId="2F7489C1" w14:textId="77777777" w:rsidR="007D1452" w:rsidRPr="007D1452" w:rsidRDefault="007D1452" w:rsidP="00FD4B28">
      <w:pPr>
        <w:numPr>
          <w:ilvl w:val="0"/>
          <w:numId w:val="27"/>
        </w:numPr>
        <w:spacing w:before="120"/>
      </w:pPr>
      <w:r w:rsidRPr="007D1452">
        <w:t>Shock indicators are binary (0 or 1).</w:t>
      </w:r>
    </w:p>
    <w:p w14:paraId="24D586AF" w14:textId="74DA5111" w:rsidR="007D1452" w:rsidRPr="007D1452" w:rsidRDefault="007D1452" w:rsidP="00F83602">
      <w:pPr>
        <w:pStyle w:val="Heading2"/>
      </w:pPr>
      <w:r w:rsidRPr="007D1452">
        <w:t>6. Limitations</w:t>
      </w:r>
    </w:p>
    <w:p w14:paraId="2E9CABAF" w14:textId="77777777" w:rsidR="007D1452" w:rsidRPr="007D1452" w:rsidRDefault="007D1452" w:rsidP="00FD4B28">
      <w:pPr>
        <w:numPr>
          <w:ilvl w:val="0"/>
          <w:numId w:val="28"/>
        </w:numPr>
        <w:spacing w:before="120"/>
      </w:pPr>
      <w:r w:rsidRPr="007D1452">
        <w:t>Dataset is synthetic and does not represent real market data.</w:t>
      </w:r>
    </w:p>
    <w:p w14:paraId="4B7336AF" w14:textId="77777777" w:rsidR="007D1452" w:rsidRPr="007D1452" w:rsidRDefault="007D1452" w:rsidP="00FD4B28">
      <w:pPr>
        <w:numPr>
          <w:ilvl w:val="0"/>
          <w:numId w:val="28"/>
        </w:numPr>
        <w:spacing w:before="120"/>
      </w:pPr>
      <w:r w:rsidRPr="007D1452">
        <w:t>Shock events are randomly assigned rather than historically grounded.</w:t>
      </w:r>
    </w:p>
    <w:p w14:paraId="1E05B6CF" w14:textId="77777777" w:rsidR="007D1452" w:rsidRPr="007D1452" w:rsidRDefault="007D1452" w:rsidP="00FD4B28">
      <w:pPr>
        <w:numPr>
          <w:ilvl w:val="0"/>
          <w:numId w:val="28"/>
        </w:numPr>
        <w:spacing w:before="120"/>
      </w:pPr>
      <w:r w:rsidRPr="007D1452">
        <w:t>Long</w:t>
      </w:r>
      <w:r w:rsidRPr="007D1452">
        <w:noBreakHyphen/>
        <w:t>term structural changes (e.g., policy shifts, technology adoption) are not modelled.</w:t>
      </w:r>
    </w:p>
    <w:p w14:paraId="5C42F7DE" w14:textId="77777777" w:rsidR="007D1452" w:rsidRPr="007D1452" w:rsidRDefault="007D1452" w:rsidP="00FD4B28">
      <w:pPr>
        <w:numPr>
          <w:ilvl w:val="0"/>
          <w:numId w:val="28"/>
        </w:numPr>
        <w:spacing w:before="120"/>
      </w:pPr>
      <w:r w:rsidRPr="007D1452">
        <w:t>Regional behaviour is simplified for clarity.</w:t>
      </w:r>
    </w:p>
    <w:p w14:paraId="102BE33B" w14:textId="18026F8B" w:rsidR="007D1452" w:rsidRPr="007D1452" w:rsidRDefault="007D1452" w:rsidP="00F83602">
      <w:pPr>
        <w:pStyle w:val="Heading2"/>
      </w:pPr>
      <w:r w:rsidRPr="007D1452">
        <w:t>7. Reproducibility</w:t>
      </w:r>
    </w:p>
    <w:p w14:paraId="7EB91144" w14:textId="77777777" w:rsidR="007D1452" w:rsidRPr="007D1452" w:rsidRDefault="007D1452" w:rsidP="00FD4B28">
      <w:pPr>
        <w:spacing w:before="120"/>
      </w:pPr>
      <w:r w:rsidRPr="007D1452">
        <w:t>The dataset can be regenerated at any time by running the Python script.</w:t>
      </w:r>
      <w:r w:rsidRPr="007D1452">
        <w:br/>
        <w:t>To reproduce:</w:t>
      </w:r>
    </w:p>
    <w:p w14:paraId="1CD85ECF" w14:textId="77777777" w:rsidR="007D1452" w:rsidRPr="007D1452" w:rsidRDefault="007D1452" w:rsidP="00FD4B28">
      <w:pPr>
        <w:numPr>
          <w:ilvl w:val="0"/>
          <w:numId w:val="29"/>
        </w:numPr>
        <w:spacing w:before="120"/>
      </w:pPr>
      <w:r w:rsidRPr="007D1452">
        <w:t>Install Python and pandas</w:t>
      </w:r>
    </w:p>
    <w:p w14:paraId="33B9DD7A" w14:textId="77777777" w:rsidR="007D1452" w:rsidRPr="007D1452" w:rsidRDefault="007D1452" w:rsidP="00FD4B28">
      <w:pPr>
        <w:numPr>
          <w:ilvl w:val="0"/>
          <w:numId w:val="29"/>
        </w:numPr>
        <w:spacing w:before="120"/>
      </w:pPr>
      <w:r w:rsidRPr="007D1452">
        <w:t>Save the script as generate_dataset.py</w:t>
      </w:r>
    </w:p>
    <w:p w14:paraId="7C726696" w14:textId="77777777" w:rsidR="007D1452" w:rsidRPr="007D1452" w:rsidRDefault="007D1452" w:rsidP="00FD4B28">
      <w:pPr>
        <w:numPr>
          <w:ilvl w:val="0"/>
          <w:numId w:val="29"/>
        </w:numPr>
        <w:spacing w:before="120"/>
      </w:pPr>
      <w:r w:rsidRPr="007D1452">
        <w:t>Run:</w:t>
      </w:r>
    </w:p>
    <w:p w14:paraId="4BD67D74" w14:textId="77777777" w:rsidR="007D1452" w:rsidRPr="007D1452" w:rsidRDefault="007D1452" w:rsidP="00FD4B28">
      <w:pPr>
        <w:spacing w:before="120"/>
        <w:ind w:left="1440"/>
      </w:pPr>
      <w:r w:rsidRPr="007D1452">
        <w:t xml:space="preserve">python generate_dataset.py </w:t>
      </w:r>
    </w:p>
    <w:p w14:paraId="7E97B9CE" w14:textId="77777777" w:rsidR="007D1452" w:rsidRPr="007D1452" w:rsidRDefault="007D1452" w:rsidP="00FD4B28">
      <w:pPr>
        <w:numPr>
          <w:ilvl w:val="0"/>
          <w:numId w:val="29"/>
        </w:numPr>
        <w:spacing w:before="120"/>
      </w:pPr>
      <w:r w:rsidRPr="007D1452">
        <w:t>CSV and JSON files will be created automatically.</w:t>
      </w:r>
    </w:p>
    <w:p w14:paraId="1DC01EE8" w14:textId="6979BAC7" w:rsidR="007D1452" w:rsidRPr="007D1452" w:rsidRDefault="007D1452" w:rsidP="00F83602">
      <w:pPr>
        <w:pStyle w:val="Heading2"/>
      </w:pPr>
      <w:r w:rsidRPr="007D1452">
        <w:t>8. File Outputs</w:t>
      </w:r>
    </w:p>
    <w:p w14:paraId="6E6E628D" w14:textId="77777777" w:rsidR="007D1452" w:rsidRPr="007D1452" w:rsidRDefault="007D1452" w:rsidP="00FD4B28">
      <w:pPr>
        <w:numPr>
          <w:ilvl w:val="0"/>
          <w:numId w:val="30"/>
        </w:numPr>
        <w:spacing w:before="120"/>
      </w:pPr>
      <w:r w:rsidRPr="007D1452">
        <w:rPr>
          <w:b/>
          <w:bCs/>
        </w:rPr>
        <w:t>energy_market_dataset.csv</w:t>
      </w:r>
    </w:p>
    <w:p w14:paraId="1BC7A4E0" w14:textId="77777777" w:rsidR="007D1452" w:rsidRPr="007D1452" w:rsidRDefault="007D1452" w:rsidP="00FD4B28">
      <w:pPr>
        <w:numPr>
          <w:ilvl w:val="0"/>
          <w:numId w:val="30"/>
        </w:numPr>
        <w:spacing w:before="120"/>
      </w:pPr>
      <w:proofErr w:type="spellStart"/>
      <w:r w:rsidRPr="007D1452">
        <w:rPr>
          <w:b/>
          <w:bCs/>
        </w:rPr>
        <w:t>energy_market_dataset.json</w:t>
      </w:r>
      <w:proofErr w:type="spellEnd"/>
      <w:r w:rsidRPr="007D1452">
        <w:br/>
        <w:t>Both files contain identical data in different formats for flexibility.</w:t>
      </w:r>
    </w:p>
    <w:p w14:paraId="550CDD58" w14:textId="495D7235" w:rsidR="007D1452" w:rsidRPr="007D1452" w:rsidRDefault="007D1452" w:rsidP="00F83602">
      <w:pPr>
        <w:pStyle w:val="Heading2"/>
      </w:pPr>
      <w:r w:rsidRPr="007D1452">
        <w:lastRenderedPageBreak/>
        <w:t>9. Conclusion</w:t>
      </w:r>
    </w:p>
    <w:p w14:paraId="557EF96C" w14:textId="2D39041F" w:rsidR="008C69B6" w:rsidRPr="008C69B6" w:rsidRDefault="007D1452" w:rsidP="00F83602">
      <w:pPr>
        <w:spacing w:before="120"/>
      </w:pPr>
      <w:r w:rsidRPr="007D1452">
        <w:t>This Technical Appendix provides full transparency into the dataset’s construction, assumptions, and validation. The methodology ensures the dataset is structured, consistent, and suitable for analytical tasks, visualisation, and portfolio demonstration.</w:t>
      </w:r>
    </w:p>
    <w:p w14:paraId="5B8A530B" w14:textId="77777777" w:rsidR="001268CE" w:rsidRPr="00FC415B" w:rsidRDefault="001268CE" w:rsidP="001268CE"/>
    <w:p w14:paraId="2AAF7C28" w14:textId="77777777" w:rsidR="00110956" w:rsidRDefault="00110956"/>
    <w:sectPr w:rsidR="00110956">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DA787" w14:textId="77777777" w:rsidR="00B82E48" w:rsidRDefault="00B82E48" w:rsidP="00467B4A">
      <w:pPr>
        <w:spacing w:after="0" w:line="240" w:lineRule="auto"/>
      </w:pPr>
      <w:r>
        <w:separator/>
      </w:r>
    </w:p>
  </w:endnote>
  <w:endnote w:type="continuationSeparator" w:id="0">
    <w:p w14:paraId="526EAE5C" w14:textId="77777777" w:rsidR="00B82E48" w:rsidRDefault="00B82E48" w:rsidP="00467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1273287"/>
      <w:docPartObj>
        <w:docPartGallery w:val="Page Numbers (Bottom of Page)"/>
        <w:docPartUnique/>
      </w:docPartObj>
    </w:sdtPr>
    <w:sdtEndPr>
      <w:rPr>
        <w:noProof/>
      </w:rPr>
    </w:sdtEndPr>
    <w:sdtContent>
      <w:p w14:paraId="3A389380" w14:textId="6382071C" w:rsidR="00467B4A" w:rsidRDefault="00467B4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CF0799" w14:textId="77777777" w:rsidR="00467B4A" w:rsidRDefault="00467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AB4CD" w14:textId="77777777" w:rsidR="00B82E48" w:rsidRDefault="00B82E48" w:rsidP="00467B4A">
      <w:pPr>
        <w:spacing w:after="0" w:line="240" w:lineRule="auto"/>
      </w:pPr>
      <w:r>
        <w:separator/>
      </w:r>
    </w:p>
  </w:footnote>
  <w:footnote w:type="continuationSeparator" w:id="0">
    <w:p w14:paraId="4DD384D8" w14:textId="77777777" w:rsidR="00B82E48" w:rsidRDefault="00B82E48" w:rsidP="00467B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1498"/>
    <w:multiLevelType w:val="multilevel"/>
    <w:tmpl w:val="62A0F53C"/>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D5291"/>
    <w:multiLevelType w:val="multilevel"/>
    <w:tmpl w:val="7FF2D188"/>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2" w15:restartNumberingAfterBreak="0">
    <w:nsid w:val="08EA3B07"/>
    <w:multiLevelType w:val="multilevel"/>
    <w:tmpl w:val="845C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759E8"/>
    <w:multiLevelType w:val="multilevel"/>
    <w:tmpl w:val="C156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65FED"/>
    <w:multiLevelType w:val="multilevel"/>
    <w:tmpl w:val="64523B66"/>
    <w:lvl w:ilvl="0">
      <w:start w:val="1"/>
      <w:numFmt w:val="bullet"/>
      <w:lvlText w:val=""/>
      <w:lvlJc w:val="left"/>
      <w:pPr>
        <w:tabs>
          <w:tab w:val="num" w:pos="1494"/>
        </w:tabs>
        <w:ind w:left="1494" w:hanging="360"/>
      </w:pPr>
      <w:rPr>
        <w:rFonts w:ascii="Symbol" w:hAnsi="Symbol"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5" w15:restartNumberingAfterBreak="0">
    <w:nsid w:val="0E450D6F"/>
    <w:multiLevelType w:val="multilevel"/>
    <w:tmpl w:val="12383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9C7B23"/>
    <w:multiLevelType w:val="multilevel"/>
    <w:tmpl w:val="927C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F5C82"/>
    <w:multiLevelType w:val="multilevel"/>
    <w:tmpl w:val="7CA6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26158"/>
    <w:multiLevelType w:val="multilevel"/>
    <w:tmpl w:val="5826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D7F76"/>
    <w:multiLevelType w:val="multilevel"/>
    <w:tmpl w:val="5F081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7E08D7"/>
    <w:multiLevelType w:val="multilevel"/>
    <w:tmpl w:val="BE0C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E7CDD"/>
    <w:multiLevelType w:val="multilevel"/>
    <w:tmpl w:val="1176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416AB6"/>
    <w:multiLevelType w:val="multilevel"/>
    <w:tmpl w:val="5022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6D08C6"/>
    <w:multiLevelType w:val="multilevel"/>
    <w:tmpl w:val="89EE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B93F25"/>
    <w:multiLevelType w:val="multilevel"/>
    <w:tmpl w:val="853A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33EB6"/>
    <w:multiLevelType w:val="multilevel"/>
    <w:tmpl w:val="1C4E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3B347F"/>
    <w:multiLevelType w:val="multilevel"/>
    <w:tmpl w:val="4852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F31718"/>
    <w:multiLevelType w:val="multilevel"/>
    <w:tmpl w:val="5384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4F7B8A"/>
    <w:multiLevelType w:val="multilevel"/>
    <w:tmpl w:val="65DE8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7E087E"/>
    <w:multiLevelType w:val="multilevel"/>
    <w:tmpl w:val="DAAE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F004AA"/>
    <w:multiLevelType w:val="multilevel"/>
    <w:tmpl w:val="1AEA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2066AE"/>
    <w:multiLevelType w:val="multilevel"/>
    <w:tmpl w:val="E8A0D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4D77A1"/>
    <w:multiLevelType w:val="multilevel"/>
    <w:tmpl w:val="3C08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DE57DF"/>
    <w:multiLevelType w:val="multilevel"/>
    <w:tmpl w:val="B906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FA1941"/>
    <w:multiLevelType w:val="multilevel"/>
    <w:tmpl w:val="2B7E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8C7134"/>
    <w:multiLevelType w:val="multilevel"/>
    <w:tmpl w:val="31E80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6D1C01"/>
    <w:multiLevelType w:val="multilevel"/>
    <w:tmpl w:val="1AB6F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D97E5A"/>
    <w:multiLevelType w:val="multilevel"/>
    <w:tmpl w:val="DB74AB26"/>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8" w15:restartNumberingAfterBreak="0">
    <w:nsid w:val="5FA04FC3"/>
    <w:multiLevelType w:val="multilevel"/>
    <w:tmpl w:val="4A0C21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433CD6"/>
    <w:multiLevelType w:val="multilevel"/>
    <w:tmpl w:val="24006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D80982"/>
    <w:multiLevelType w:val="multilevel"/>
    <w:tmpl w:val="CB0C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68597E"/>
    <w:multiLevelType w:val="multilevel"/>
    <w:tmpl w:val="F664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F846E4"/>
    <w:multiLevelType w:val="multilevel"/>
    <w:tmpl w:val="C3B8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2A3CBF"/>
    <w:multiLevelType w:val="multilevel"/>
    <w:tmpl w:val="4150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7D10E4"/>
    <w:multiLevelType w:val="multilevel"/>
    <w:tmpl w:val="1904ED7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25451A"/>
    <w:multiLevelType w:val="multilevel"/>
    <w:tmpl w:val="6542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A24C6C"/>
    <w:multiLevelType w:val="multilevel"/>
    <w:tmpl w:val="FE16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EA74FE"/>
    <w:multiLevelType w:val="multilevel"/>
    <w:tmpl w:val="EF4E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91577B"/>
    <w:multiLevelType w:val="multilevel"/>
    <w:tmpl w:val="A7F2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5C1C89"/>
    <w:multiLevelType w:val="multilevel"/>
    <w:tmpl w:val="C94E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322712">
    <w:abstractNumId w:val="29"/>
  </w:num>
  <w:num w:numId="2" w16cid:durableId="1831553026">
    <w:abstractNumId w:val="32"/>
  </w:num>
  <w:num w:numId="3" w16cid:durableId="2043436043">
    <w:abstractNumId w:val="28"/>
  </w:num>
  <w:num w:numId="4" w16cid:durableId="225606418">
    <w:abstractNumId w:val="30"/>
  </w:num>
  <w:num w:numId="5" w16cid:durableId="228661293">
    <w:abstractNumId w:val="14"/>
  </w:num>
  <w:num w:numId="6" w16cid:durableId="1242833743">
    <w:abstractNumId w:val="15"/>
  </w:num>
  <w:num w:numId="7" w16cid:durableId="998075637">
    <w:abstractNumId w:val="21"/>
  </w:num>
  <w:num w:numId="8" w16cid:durableId="567694219">
    <w:abstractNumId w:val="18"/>
  </w:num>
  <w:num w:numId="9" w16cid:durableId="1967541723">
    <w:abstractNumId w:val="23"/>
  </w:num>
  <w:num w:numId="10" w16cid:durableId="1220240098">
    <w:abstractNumId w:val="5"/>
  </w:num>
  <w:num w:numId="11" w16cid:durableId="963459645">
    <w:abstractNumId w:val="20"/>
  </w:num>
  <w:num w:numId="12" w16cid:durableId="1974599721">
    <w:abstractNumId w:val="31"/>
  </w:num>
  <w:num w:numId="13" w16cid:durableId="2041708814">
    <w:abstractNumId w:val="6"/>
  </w:num>
  <w:num w:numId="14" w16cid:durableId="1095596771">
    <w:abstractNumId w:val="26"/>
  </w:num>
  <w:num w:numId="15" w16cid:durableId="1845511255">
    <w:abstractNumId w:val="36"/>
  </w:num>
  <w:num w:numId="16" w16cid:durableId="120391823">
    <w:abstractNumId w:val="3"/>
  </w:num>
  <w:num w:numId="17" w16cid:durableId="1221094241">
    <w:abstractNumId w:val="34"/>
  </w:num>
  <w:num w:numId="18" w16cid:durableId="1951357140">
    <w:abstractNumId w:val="27"/>
  </w:num>
  <w:num w:numId="19" w16cid:durableId="1074208062">
    <w:abstractNumId w:val="4"/>
  </w:num>
  <w:num w:numId="20" w16cid:durableId="1652173155">
    <w:abstractNumId w:val="1"/>
  </w:num>
  <w:num w:numId="21" w16cid:durableId="1149324989">
    <w:abstractNumId w:val="0"/>
  </w:num>
  <w:num w:numId="22" w16cid:durableId="443958508">
    <w:abstractNumId w:val="16"/>
  </w:num>
  <w:num w:numId="23" w16cid:durableId="2006743830">
    <w:abstractNumId w:val="24"/>
  </w:num>
  <w:num w:numId="24" w16cid:durableId="1758869500">
    <w:abstractNumId w:val="22"/>
  </w:num>
  <w:num w:numId="25" w16cid:durableId="1298074528">
    <w:abstractNumId w:val="33"/>
  </w:num>
  <w:num w:numId="26" w16cid:durableId="1414739870">
    <w:abstractNumId w:val="10"/>
  </w:num>
  <w:num w:numId="27" w16cid:durableId="1135214722">
    <w:abstractNumId w:val="35"/>
  </w:num>
  <w:num w:numId="28" w16cid:durableId="141166165">
    <w:abstractNumId w:val="12"/>
  </w:num>
  <w:num w:numId="29" w16cid:durableId="867841183">
    <w:abstractNumId w:val="9"/>
  </w:num>
  <w:num w:numId="30" w16cid:durableId="1936087299">
    <w:abstractNumId w:val="39"/>
  </w:num>
  <w:num w:numId="31" w16cid:durableId="261228359">
    <w:abstractNumId w:val="7"/>
  </w:num>
  <w:num w:numId="32" w16cid:durableId="1585991636">
    <w:abstractNumId w:val="37"/>
  </w:num>
  <w:num w:numId="33" w16cid:durableId="2037269832">
    <w:abstractNumId w:val="13"/>
  </w:num>
  <w:num w:numId="34" w16cid:durableId="1801336890">
    <w:abstractNumId w:val="11"/>
  </w:num>
  <w:num w:numId="35" w16cid:durableId="1207568795">
    <w:abstractNumId w:val="38"/>
  </w:num>
  <w:num w:numId="36" w16cid:durableId="814109438">
    <w:abstractNumId w:val="17"/>
  </w:num>
  <w:num w:numId="37" w16cid:durableId="463160924">
    <w:abstractNumId w:val="19"/>
  </w:num>
  <w:num w:numId="38" w16cid:durableId="1452047687">
    <w:abstractNumId w:val="8"/>
  </w:num>
  <w:num w:numId="39" w16cid:durableId="164824150">
    <w:abstractNumId w:val="25"/>
  </w:num>
  <w:num w:numId="40" w16cid:durableId="20121028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304"/>
    <w:rsid w:val="00015007"/>
    <w:rsid w:val="0003089B"/>
    <w:rsid w:val="000440E6"/>
    <w:rsid w:val="000C43E3"/>
    <w:rsid w:val="00110956"/>
    <w:rsid w:val="001268CE"/>
    <w:rsid w:val="0018411A"/>
    <w:rsid w:val="001D145B"/>
    <w:rsid w:val="001F7E7F"/>
    <w:rsid w:val="00273990"/>
    <w:rsid w:val="003576D6"/>
    <w:rsid w:val="00365131"/>
    <w:rsid w:val="003C75FA"/>
    <w:rsid w:val="003D26B9"/>
    <w:rsid w:val="003D797C"/>
    <w:rsid w:val="003E0A61"/>
    <w:rsid w:val="003E659E"/>
    <w:rsid w:val="003E6920"/>
    <w:rsid w:val="00410026"/>
    <w:rsid w:val="00446AAF"/>
    <w:rsid w:val="00467B4A"/>
    <w:rsid w:val="004B5304"/>
    <w:rsid w:val="00524CCF"/>
    <w:rsid w:val="00595234"/>
    <w:rsid w:val="005B7E46"/>
    <w:rsid w:val="005D6C7C"/>
    <w:rsid w:val="00620637"/>
    <w:rsid w:val="0064437A"/>
    <w:rsid w:val="006627E3"/>
    <w:rsid w:val="006E1C90"/>
    <w:rsid w:val="006F7FAD"/>
    <w:rsid w:val="00704948"/>
    <w:rsid w:val="00750A0B"/>
    <w:rsid w:val="00765132"/>
    <w:rsid w:val="00774677"/>
    <w:rsid w:val="007B3640"/>
    <w:rsid w:val="007D1452"/>
    <w:rsid w:val="007E6EC2"/>
    <w:rsid w:val="0081131C"/>
    <w:rsid w:val="00854838"/>
    <w:rsid w:val="00860CE6"/>
    <w:rsid w:val="00873192"/>
    <w:rsid w:val="008A64FF"/>
    <w:rsid w:val="008B1B7B"/>
    <w:rsid w:val="008C69B6"/>
    <w:rsid w:val="00910E89"/>
    <w:rsid w:val="00943366"/>
    <w:rsid w:val="00960C83"/>
    <w:rsid w:val="00970E28"/>
    <w:rsid w:val="00993B53"/>
    <w:rsid w:val="009D0E5A"/>
    <w:rsid w:val="009F4864"/>
    <w:rsid w:val="00A072A8"/>
    <w:rsid w:val="00A21408"/>
    <w:rsid w:val="00A72AE0"/>
    <w:rsid w:val="00AA375A"/>
    <w:rsid w:val="00AA47D1"/>
    <w:rsid w:val="00AB1CA9"/>
    <w:rsid w:val="00AD72E6"/>
    <w:rsid w:val="00AE3DF8"/>
    <w:rsid w:val="00B15B4A"/>
    <w:rsid w:val="00B82E48"/>
    <w:rsid w:val="00BC19BB"/>
    <w:rsid w:val="00BC23A4"/>
    <w:rsid w:val="00C26A3A"/>
    <w:rsid w:val="00C81308"/>
    <w:rsid w:val="00CF648D"/>
    <w:rsid w:val="00E1510C"/>
    <w:rsid w:val="00E76DC5"/>
    <w:rsid w:val="00EA0D96"/>
    <w:rsid w:val="00EA13D6"/>
    <w:rsid w:val="00EB5942"/>
    <w:rsid w:val="00EC0945"/>
    <w:rsid w:val="00ED241B"/>
    <w:rsid w:val="00EE5FB5"/>
    <w:rsid w:val="00F8320C"/>
    <w:rsid w:val="00F83602"/>
    <w:rsid w:val="00FC415B"/>
    <w:rsid w:val="00FC7FB9"/>
    <w:rsid w:val="00FD4B28"/>
    <w:rsid w:val="00FE209F"/>
    <w:rsid w:val="00FF0A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9CEC9F"/>
  <w15:chartTrackingRefBased/>
  <w15:docId w15:val="{7DBBBC13-DCA8-4445-8458-21DC8C6BF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20" w:line="360"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3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B53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B53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3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3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3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3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3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3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3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B53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B53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3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3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304"/>
    <w:rPr>
      <w:rFonts w:eastAsiaTheme="majorEastAsia" w:cstheme="majorBidi"/>
      <w:color w:val="272727" w:themeColor="text1" w:themeTint="D8"/>
    </w:rPr>
  </w:style>
  <w:style w:type="paragraph" w:styleId="Title">
    <w:name w:val="Title"/>
    <w:basedOn w:val="Normal"/>
    <w:next w:val="Normal"/>
    <w:link w:val="TitleChar"/>
    <w:uiPriority w:val="10"/>
    <w:qFormat/>
    <w:rsid w:val="004B53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304"/>
    <w:pPr>
      <w:numPr>
        <w:ilvl w:val="1"/>
      </w:numPr>
      <w:ind w:left="714"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304"/>
    <w:pPr>
      <w:spacing w:before="160"/>
      <w:jc w:val="center"/>
    </w:pPr>
    <w:rPr>
      <w:i/>
      <w:iCs/>
      <w:color w:val="404040" w:themeColor="text1" w:themeTint="BF"/>
    </w:rPr>
  </w:style>
  <w:style w:type="character" w:customStyle="1" w:styleId="QuoteChar">
    <w:name w:val="Quote Char"/>
    <w:basedOn w:val="DefaultParagraphFont"/>
    <w:link w:val="Quote"/>
    <w:uiPriority w:val="29"/>
    <w:rsid w:val="004B5304"/>
    <w:rPr>
      <w:i/>
      <w:iCs/>
      <w:color w:val="404040" w:themeColor="text1" w:themeTint="BF"/>
    </w:rPr>
  </w:style>
  <w:style w:type="paragraph" w:styleId="ListParagraph">
    <w:name w:val="List Paragraph"/>
    <w:basedOn w:val="Normal"/>
    <w:uiPriority w:val="34"/>
    <w:qFormat/>
    <w:rsid w:val="004B5304"/>
    <w:pPr>
      <w:ind w:left="720"/>
      <w:contextualSpacing/>
    </w:pPr>
  </w:style>
  <w:style w:type="character" w:styleId="IntenseEmphasis">
    <w:name w:val="Intense Emphasis"/>
    <w:basedOn w:val="DefaultParagraphFont"/>
    <w:uiPriority w:val="21"/>
    <w:qFormat/>
    <w:rsid w:val="004B5304"/>
    <w:rPr>
      <w:i/>
      <w:iCs/>
      <w:color w:val="0F4761" w:themeColor="accent1" w:themeShade="BF"/>
    </w:rPr>
  </w:style>
  <w:style w:type="paragraph" w:styleId="IntenseQuote">
    <w:name w:val="Intense Quote"/>
    <w:basedOn w:val="Normal"/>
    <w:next w:val="Normal"/>
    <w:link w:val="IntenseQuoteChar"/>
    <w:uiPriority w:val="30"/>
    <w:qFormat/>
    <w:rsid w:val="004B53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304"/>
    <w:rPr>
      <w:i/>
      <w:iCs/>
      <w:color w:val="0F4761" w:themeColor="accent1" w:themeShade="BF"/>
    </w:rPr>
  </w:style>
  <w:style w:type="character" w:styleId="IntenseReference">
    <w:name w:val="Intense Reference"/>
    <w:basedOn w:val="DefaultParagraphFont"/>
    <w:uiPriority w:val="32"/>
    <w:qFormat/>
    <w:rsid w:val="004B5304"/>
    <w:rPr>
      <w:b/>
      <w:bCs/>
      <w:smallCaps/>
      <w:color w:val="0F4761" w:themeColor="accent1" w:themeShade="BF"/>
      <w:spacing w:val="5"/>
    </w:rPr>
  </w:style>
  <w:style w:type="paragraph" w:styleId="Header">
    <w:name w:val="header"/>
    <w:basedOn w:val="Normal"/>
    <w:link w:val="HeaderChar"/>
    <w:uiPriority w:val="99"/>
    <w:unhideWhenUsed/>
    <w:rsid w:val="00467B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7B4A"/>
  </w:style>
  <w:style w:type="paragraph" w:styleId="Footer">
    <w:name w:val="footer"/>
    <w:basedOn w:val="Normal"/>
    <w:link w:val="FooterChar"/>
    <w:uiPriority w:val="99"/>
    <w:unhideWhenUsed/>
    <w:rsid w:val="00467B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7B4A"/>
  </w:style>
  <w:style w:type="table" w:styleId="TableGrid">
    <w:name w:val="Table Grid"/>
    <w:basedOn w:val="TableNormal"/>
    <w:uiPriority w:val="39"/>
    <w:rsid w:val="00FD4B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15B4A"/>
    <w:rPr>
      <w:rFonts w:ascii="Times New Roman" w:hAnsi="Times New Roman" w:cs="Times New Roman"/>
    </w:rPr>
  </w:style>
  <w:style w:type="paragraph" w:styleId="TOCHeading">
    <w:name w:val="TOC Heading"/>
    <w:basedOn w:val="Heading1"/>
    <w:next w:val="Normal"/>
    <w:uiPriority w:val="39"/>
    <w:unhideWhenUsed/>
    <w:qFormat/>
    <w:rsid w:val="00446AA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446AAF"/>
    <w:pPr>
      <w:spacing w:before="360" w:after="0"/>
      <w:ind w:left="0"/>
    </w:pPr>
    <w:rPr>
      <w:rFonts w:asciiTheme="majorHAnsi" w:hAnsiTheme="majorHAnsi"/>
      <w:b/>
      <w:bCs/>
      <w:caps/>
    </w:rPr>
  </w:style>
  <w:style w:type="paragraph" w:styleId="TOC2">
    <w:name w:val="toc 2"/>
    <w:basedOn w:val="Normal"/>
    <w:next w:val="Normal"/>
    <w:autoRedefine/>
    <w:uiPriority w:val="39"/>
    <w:unhideWhenUsed/>
    <w:rsid w:val="00446AAF"/>
    <w:pPr>
      <w:spacing w:before="240" w:after="0"/>
      <w:ind w:left="0"/>
    </w:pPr>
    <w:rPr>
      <w:b/>
      <w:bCs/>
      <w:sz w:val="20"/>
      <w:szCs w:val="20"/>
    </w:rPr>
  </w:style>
  <w:style w:type="character" w:styleId="Hyperlink">
    <w:name w:val="Hyperlink"/>
    <w:basedOn w:val="DefaultParagraphFont"/>
    <w:uiPriority w:val="99"/>
    <w:unhideWhenUsed/>
    <w:rsid w:val="00446AAF"/>
    <w:rPr>
      <w:color w:val="467886" w:themeColor="hyperlink"/>
      <w:u w:val="single"/>
    </w:rPr>
  </w:style>
  <w:style w:type="paragraph" w:styleId="TOC3">
    <w:name w:val="toc 3"/>
    <w:basedOn w:val="Normal"/>
    <w:next w:val="Normal"/>
    <w:autoRedefine/>
    <w:uiPriority w:val="39"/>
    <w:unhideWhenUsed/>
    <w:rsid w:val="00910E89"/>
    <w:pPr>
      <w:spacing w:after="0"/>
      <w:ind w:left="240"/>
    </w:pPr>
    <w:rPr>
      <w:sz w:val="20"/>
      <w:szCs w:val="20"/>
    </w:rPr>
  </w:style>
  <w:style w:type="paragraph" w:styleId="TOC4">
    <w:name w:val="toc 4"/>
    <w:basedOn w:val="Normal"/>
    <w:next w:val="Normal"/>
    <w:autoRedefine/>
    <w:uiPriority w:val="39"/>
    <w:unhideWhenUsed/>
    <w:rsid w:val="00F8320C"/>
    <w:pPr>
      <w:spacing w:after="0"/>
      <w:ind w:left="480"/>
    </w:pPr>
    <w:rPr>
      <w:sz w:val="20"/>
      <w:szCs w:val="20"/>
    </w:rPr>
  </w:style>
  <w:style w:type="paragraph" w:styleId="TOC5">
    <w:name w:val="toc 5"/>
    <w:basedOn w:val="Normal"/>
    <w:next w:val="Normal"/>
    <w:autoRedefine/>
    <w:uiPriority w:val="39"/>
    <w:unhideWhenUsed/>
    <w:rsid w:val="00F8320C"/>
    <w:pPr>
      <w:spacing w:after="0"/>
      <w:ind w:left="720"/>
    </w:pPr>
    <w:rPr>
      <w:sz w:val="20"/>
      <w:szCs w:val="20"/>
    </w:rPr>
  </w:style>
  <w:style w:type="paragraph" w:styleId="TOC6">
    <w:name w:val="toc 6"/>
    <w:basedOn w:val="Normal"/>
    <w:next w:val="Normal"/>
    <w:autoRedefine/>
    <w:uiPriority w:val="39"/>
    <w:unhideWhenUsed/>
    <w:rsid w:val="00F8320C"/>
    <w:pPr>
      <w:spacing w:after="0"/>
      <w:ind w:left="960"/>
    </w:pPr>
    <w:rPr>
      <w:sz w:val="20"/>
      <w:szCs w:val="20"/>
    </w:rPr>
  </w:style>
  <w:style w:type="paragraph" w:styleId="TOC7">
    <w:name w:val="toc 7"/>
    <w:basedOn w:val="Normal"/>
    <w:next w:val="Normal"/>
    <w:autoRedefine/>
    <w:uiPriority w:val="39"/>
    <w:unhideWhenUsed/>
    <w:rsid w:val="00F8320C"/>
    <w:pPr>
      <w:spacing w:after="0"/>
      <w:ind w:left="1200"/>
    </w:pPr>
    <w:rPr>
      <w:sz w:val="20"/>
      <w:szCs w:val="20"/>
    </w:rPr>
  </w:style>
  <w:style w:type="paragraph" w:styleId="TOC8">
    <w:name w:val="toc 8"/>
    <w:basedOn w:val="Normal"/>
    <w:next w:val="Normal"/>
    <w:autoRedefine/>
    <w:uiPriority w:val="39"/>
    <w:unhideWhenUsed/>
    <w:rsid w:val="00F8320C"/>
    <w:pPr>
      <w:spacing w:after="0"/>
      <w:ind w:left="1440"/>
    </w:pPr>
    <w:rPr>
      <w:sz w:val="20"/>
      <w:szCs w:val="20"/>
    </w:rPr>
  </w:style>
  <w:style w:type="paragraph" w:styleId="TOC9">
    <w:name w:val="toc 9"/>
    <w:basedOn w:val="Normal"/>
    <w:next w:val="Normal"/>
    <w:autoRedefine/>
    <w:uiPriority w:val="39"/>
    <w:unhideWhenUsed/>
    <w:rsid w:val="00F8320C"/>
    <w:pPr>
      <w:spacing w:after="0"/>
      <w:ind w:left="168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0326E-B840-41F7-959A-FF363A416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2155</Words>
  <Characters>14101</Characters>
  <Application>Microsoft Office Word</Application>
  <DocSecurity>0</DocSecurity>
  <Lines>427</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oseghwa</dc:creator>
  <cp:keywords/>
  <dc:description/>
  <cp:lastModifiedBy>joana oseghwa</cp:lastModifiedBy>
  <cp:revision>50</cp:revision>
  <dcterms:created xsi:type="dcterms:W3CDTF">2026-02-13T09:41:00Z</dcterms:created>
  <dcterms:modified xsi:type="dcterms:W3CDTF">2026-02-19T13:02:00Z</dcterms:modified>
</cp:coreProperties>
</file>