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D2C2B" w14:textId="628BE666" w:rsidR="00E57424" w:rsidRPr="00E52BC6" w:rsidRDefault="00E57424" w:rsidP="00E57424">
      <w:pPr>
        <w:spacing w:line="360" w:lineRule="auto"/>
        <w:jc w:val="both"/>
        <w:rPr>
          <w:rFonts w:ascii="Times New Roman" w:hAnsi="Times New Roman" w:cs="Times New Roman"/>
          <w:b/>
          <w:bCs/>
        </w:rPr>
      </w:pPr>
    </w:p>
    <w:p w14:paraId="4A944BF5" w14:textId="41FBDEC2" w:rsidR="00E57424" w:rsidRPr="00E52BC6" w:rsidRDefault="00E57424" w:rsidP="00E57424">
      <w:pPr>
        <w:spacing w:line="360" w:lineRule="auto"/>
        <w:jc w:val="both"/>
        <w:rPr>
          <w:rFonts w:ascii="Times New Roman" w:hAnsi="Times New Roman" w:cs="Times New Roman"/>
          <w:b/>
          <w:bCs/>
        </w:rPr>
      </w:pPr>
      <w:r w:rsidRPr="00E52BC6">
        <w:rPr>
          <w:rFonts w:ascii="Times New Roman" w:hAnsi="Times New Roman" w:cs="Times New Roman"/>
          <w:b/>
          <w:bCs/>
        </w:rPr>
        <w:t xml:space="preserve">      </w:t>
      </w:r>
      <w:r w:rsidR="00E52BC6">
        <w:rPr>
          <w:rFonts w:ascii="Times New Roman" w:hAnsi="Times New Roman" w:cs="Times New Roman"/>
          <w:b/>
          <w:bCs/>
        </w:rPr>
        <w:t xml:space="preserve">     </w:t>
      </w:r>
      <w:r w:rsidRPr="00E52BC6">
        <w:rPr>
          <w:rFonts w:ascii="Times New Roman" w:hAnsi="Times New Roman" w:cs="Times New Roman"/>
          <w:b/>
          <w:bCs/>
        </w:rPr>
        <w:t xml:space="preserve">                         </w:t>
      </w:r>
      <w:r w:rsidRPr="00E52BC6">
        <w:rPr>
          <w:rFonts w:ascii="Times New Roman" w:hAnsi="Times New Roman" w:cs="Times New Roman"/>
          <w:b/>
          <w:bCs/>
          <w:u w:val="single"/>
        </w:rPr>
        <w:t>ADVANCED DATA COMMUNICATION</w:t>
      </w:r>
      <w:r w:rsidRPr="00E52BC6">
        <w:rPr>
          <w:rFonts w:ascii="Times New Roman" w:hAnsi="Times New Roman" w:cs="Times New Roman"/>
          <w:b/>
          <w:bCs/>
        </w:rPr>
        <w:t xml:space="preserve">: </w:t>
      </w:r>
    </w:p>
    <w:p w14:paraId="72D9BB36" w14:textId="6A564DEF" w:rsidR="00E57424" w:rsidRPr="00E52BC6" w:rsidRDefault="00E57424" w:rsidP="00E57424">
      <w:pPr>
        <w:spacing w:line="360" w:lineRule="auto"/>
        <w:jc w:val="both"/>
        <w:rPr>
          <w:rFonts w:ascii="Times New Roman" w:hAnsi="Times New Roman" w:cs="Times New Roman"/>
          <w:b/>
          <w:bCs/>
          <w:u w:val="single"/>
        </w:rPr>
      </w:pPr>
      <w:r w:rsidRPr="00E52BC6">
        <w:rPr>
          <w:rFonts w:ascii="Times New Roman" w:hAnsi="Times New Roman" w:cs="Times New Roman"/>
          <w:b/>
          <w:bCs/>
        </w:rPr>
        <w:t xml:space="preserve">                          </w:t>
      </w:r>
      <w:r w:rsidRPr="00E52BC6">
        <w:rPr>
          <w:rFonts w:ascii="Times New Roman" w:hAnsi="Times New Roman" w:cs="Times New Roman"/>
          <w:b/>
          <w:bCs/>
          <w:u w:val="single"/>
        </w:rPr>
        <w:t xml:space="preserve">PRINCIPLES AND APPLICATIONS OF SATELLITE </w:t>
      </w:r>
    </w:p>
    <w:p w14:paraId="0165288E" w14:textId="1FC63698" w:rsidR="00E57424" w:rsidRPr="00E57424" w:rsidRDefault="00E52BC6" w:rsidP="007F2875">
      <w:pPr>
        <w:spacing w:line="360" w:lineRule="auto"/>
        <w:jc w:val="both"/>
        <w:rPr>
          <w:rFonts w:ascii="Times New Roman" w:hAnsi="Times New Roman" w:cs="Times New Roman"/>
        </w:rPr>
      </w:pPr>
      <w:r>
        <w:rPr>
          <w:rFonts w:ascii="Times New Roman" w:hAnsi="Times New Roman" w:cs="Times New Roman"/>
        </w:rPr>
        <w:t>NAME: OSEI ALBERT PREMPEH</w:t>
      </w:r>
    </w:p>
    <w:p w14:paraId="20D18C3E" w14:textId="31C22D9C" w:rsidR="00E57424" w:rsidRDefault="00E52BC6" w:rsidP="007F2875">
      <w:pPr>
        <w:spacing w:line="360" w:lineRule="auto"/>
        <w:jc w:val="both"/>
        <w:rPr>
          <w:rFonts w:ascii="Times New Roman" w:hAnsi="Times New Roman" w:cs="Times New Roman"/>
        </w:rPr>
      </w:pPr>
      <w:r>
        <w:rPr>
          <w:rFonts w:ascii="Times New Roman" w:hAnsi="Times New Roman" w:cs="Times New Roman"/>
        </w:rPr>
        <w:t>STUDENT ID: PUIT24210</w:t>
      </w:r>
      <w:r w:rsidR="007F2875">
        <w:rPr>
          <w:rFonts w:ascii="Times New Roman" w:hAnsi="Times New Roman" w:cs="Times New Roman"/>
        </w:rPr>
        <w:t>132</w:t>
      </w:r>
    </w:p>
    <w:p w14:paraId="66A03574" w14:textId="77777777" w:rsidR="007F2875" w:rsidRPr="00E57424" w:rsidRDefault="007F2875" w:rsidP="007F2875">
      <w:pPr>
        <w:spacing w:line="360" w:lineRule="auto"/>
        <w:jc w:val="both"/>
        <w:rPr>
          <w:rFonts w:ascii="Times New Roman" w:hAnsi="Times New Roman" w:cs="Times New Roman"/>
        </w:rPr>
      </w:pPr>
    </w:p>
    <w:p w14:paraId="21FDEEA5" w14:textId="1857D98D"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xml:space="preserve">                                                 </w:t>
      </w:r>
    </w:p>
    <w:p w14:paraId="25B8FB8C" w14:textId="77777777" w:rsidR="00E57424" w:rsidRPr="00E57424" w:rsidRDefault="00E57424" w:rsidP="00E57424">
      <w:pPr>
        <w:spacing w:line="360" w:lineRule="auto"/>
        <w:jc w:val="both"/>
        <w:rPr>
          <w:rFonts w:ascii="Times New Roman" w:hAnsi="Times New Roman" w:cs="Times New Roman"/>
        </w:rPr>
      </w:pPr>
    </w:p>
    <w:p w14:paraId="4496E7E6" w14:textId="5AF845AC"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xml:space="preserve"> </w:t>
      </w:r>
      <w:r w:rsidR="007A4190" w:rsidRPr="007A4190">
        <w:rPr>
          <w:rFonts w:ascii="Times New Roman" w:hAnsi="Times New Roman" w:cs="Times New Roman"/>
        </w:rPr>
        <w:drawing>
          <wp:inline distT="0" distB="0" distL="0" distR="0" wp14:anchorId="0195CA5B" wp14:editId="3A14A6DE">
            <wp:extent cx="5943600" cy="4756785"/>
            <wp:effectExtent l="0" t="0" r="0" b="5715"/>
            <wp:docPr id="12788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8908" name=""/>
                    <pic:cNvPicPr/>
                  </pic:nvPicPr>
                  <pic:blipFill>
                    <a:blip r:embed="rId6"/>
                    <a:stretch>
                      <a:fillRect/>
                    </a:stretch>
                  </pic:blipFill>
                  <pic:spPr>
                    <a:xfrm>
                      <a:off x="0" y="0"/>
                      <a:ext cx="5943600" cy="4756785"/>
                    </a:xfrm>
                    <a:prstGeom prst="rect">
                      <a:avLst/>
                    </a:prstGeom>
                  </pic:spPr>
                </pic:pic>
              </a:graphicData>
            </a:graphic>
          </wp:inline>
        </w:drawing>
      </w:r>
    </w:p>
    <w:p w14:paraId="0C9122A0" w14:textId="5FD16286" w:rsidR="00E57424" w:rsidRPr="00A54D51" w:rsidRDefault="00E57424" w:rsidP="000D1643">
      <w:pPr>
        <w:spacing w:line="360" w:lineRule="auto"/>
        <w:jc w:val="both"/>
        <w:rPr>
          <w:rFonts w:ascii="Times New Roman" w:hAnsi="Times New Roman" w:cs="Times New Roman"/>
        </w:rPr>
      </w:pPr>
      <w:r w:rsidRPr="00E57424">
        <w:rPr>
          <w:rFonts w:ascii="Times New Roman" w:hAnsi="Times New Roman" w:cs="Times New Roman"/>
        </w:rPr>
        <w:lastRenderedPageBreak/>
        <w:t xml:space="preserve">       </w:t>
      </w:r>
      <w:r w:rsidRPr="00E57424">
        <w:rPr>
          <w:rFonts w:ascii="Times New Roman" w:hAnsi="Times New Roman" w:cs="Times New Roman"/>
          <w:b/>
          <w:bCs/>
          <w:u w:val="single"/>
        </w:rPr>
        <w:t>TABLE OF CONTENT</w:t>
      </w:r>
    </w:p>
    <w:p w14:paraId="71055043" w14:textId="77777777" w:rsidR="008C2786" w:rsidRPr="008C2786" w:rsidRDefault="008C2786" w:rsidP="000D1643">
      <w:pPr>
        <w:spacing w:line="360" w:lineRule="auto"/>
        <w:jc w:val="both"/>
        <w:rPr>
          <w:rFonts w:ascii="Times New Roman" w:hAnsi="Times New Roman" w:cs="Times New Roman"/>
          <w:b/>
          <w:bCs/>
          <w:u w:val="single"/>
        </w:rPr>
      </w:pPr>
    </w:p>
    <w:p w14:paraId="36EA0F8B" w14:textId="4690C410" w:rsidR="00E57424" w:rsidRPr="008C2786" w:rsidRDefault="00F57792" w:rsidP="008C2786">
      <w:pPr>
        <w:spacing w:line="360" w:lineRule="auto"/>
        <w:jc w:val="both"/>
        <w:rPr>
          <w:rFonts w:ascii="Times New Roman" w:hAnsi="Times New Roman" w:cs="Times New Roman"/>
        </w:rPr>
      </w:pPr>
      <w:r>
        <w:rPr>
          <w:rFonts w:ascii="Times New Roman" w:hAnsi="Times New Roman" w:cs="Times New Roman"/>
        </w:rPr>
        <w:t>1</w:t>
      </w:r>
      <w:r w:rsidR="00E57424" w:rsidRPr="008C2786">
        <w:rPr>
          <w:rFonts w:ascii="Times New Roman" w:hAnsi="Times New Roman" w:cs="Times New Roman"/>
        </w:rPr>
        <w:t xml:space="preserve">. Introduction .............................................................................................. </w:t>
      </w:r>
      <w:r w:rsidR="00B52767">
        <w:rPr>
          <w:rFonts w:ascii="Times New Roman" w:hAnsi="Times New Roman" w:cs="Times New Roman"/>
        </w:rPr>
        <w:t>3</w:t>
      </w:r>
    </w:p>
    <w:p w14:paraId="4C6322E8" w14:textId="35D53172" w:rsidR="00E57424" w:rsidRPr="008C2786" w:rsidRDefault="00F57792" w:rsidP="008C2786">
      <w:pPr>
        <w:spacing w:line="360" w:lineRule="auto"/>
        <w:jc w:val="both"/>
        <w:rPr>
          <w:rFonts w:ascii="Times New Roman" w:hAnsi="Times New Roman" w:cs="Times New Roman"/>
        </w:rPr>
      </w:pPr>
      <w:r>
        <w:rPr>
          <w:rFonts w:ascii="Times New Roman" w:hAnsi="Times New Roman" w:cs="Times New Roman"/>
        </w:rPr>
        <w:t>2</w:t>
      </w:r>
      <w:r w:rsidR="00E57424" w:rsidRPr="008C2786">
        <w:rPr>
          <w:rFonts w:ascii="Times New Roman" w:hAnsi="Times New Roman" w:cs="Times New Roman"/>
        </w:rPr>
        <w:t xml:space="preserve">. Technical Principles of Satellite Communication ..................................... </w:t>
      </w:r>
      <w:r w:rsidR="00B52767">
        <w:rPr>
          <w:rFonts w:ascii="Times New Roman" w:hAnsi="Times New Roman" w:cs="Times New Roman"/>
        </w:rPr>
        <w:t>5</w:t>
      </w:r>
    </w:p>
    <w:p w14:paraId="123F0F34" w14:textId="179C8DBE" w:rsidR="00E57424" w:rsidRPr="008C2786" w:rsidRDefault="00F57792" w:rsidP="008C2786">
      <w:pPr>
        <w:spacing w:line="360" w:lineRule="auto"/>
        <w:jc w:val="both"/>
        <w:rPr>
          <w:rFonts w:ascii="Times New Roman" w:hAnsi="Times New Roman" w:cs="Times New Roman"/>
        </w:rPr>
      </w:pPr>
      <w:r>
        <w:rPr>
          <w:rFonts w:ascii="Times New Roman" w:hAnsi="Times New Roman" w:cs="Times New Roman"/>
        </w:rPr>
        <w:t>3</w:t>
      </w:r>
      <w:r w:rsidR="00E57424" w:rsidRPr="008C2786">
        <w:rPr>
          <w:rFonts w:ascii="Times New Roman" w:hAnsi="Times New Roman" w:cs="Times New Roman"/>
        </w:rPr>
        <w:t xml:space="preserve">. Satellite Zooming: High-Throughput Spot Beam Technology ................. </w:t>
      </w:r>
      <w:r w:rsidR="00401D6E">
        <w:rPr>
          <w:rFonts w:ascii="Times New Roman" w:hAnsi="Times New Roman" w:cs="Times New Roman"/>
        </w:rPr>
        <w:t>9</w:t>
      </w:r>
    </w:p>
    <w:p w14:paraId="1836E71B" w14:textId="0B768704" w:rsidR="00E57424" w:rsidRPr="008C2786" w:rsidRDefault="00B52767" w:rsidP="008C2786">
      <w:pPr>
        <w:spacing w:line="360" w:lineRule="auto"/>
        <w:jc w:val="both"/>
        <w:rPr>
          <w:rFonts w:ascii="Times New Roman" w:hAnsi="Times New Roman" w:cs="Times New Roman"/>
        </w:rPr>
      </w:pPr>
      <w:r>
        <w:rPr>
          <w:rFonts w:ascii="Times New Roman" w:hAnsi="Times New Roman" w:cs="Times New Roman"/>
        </w:rPr>
        <w:t>4</w:t>
      </w:r>
      <w:r w:rsidR="00E57424" w:rsidRPr="008C2786">
        <w:rPr>
          <w:rFonts w:ascii="Times New Roman" w:hAnsi="Times New Roman" w:cs="Times New Roman"/>
        </w:rPr>
        <w:t>. Comparative Analysis: Satellite vs. Terrestrial Systems ........................ 1</w:t>
      </w:r>
      <w:r w:rsidR="00401D6E">
        <w:rPr>
          <w:rFonts w:ascii="Times New Roman" w:hAnsi="Times New Roman" w:cs="Times New Roman"/>
        </w:rPr>
        <w:t>3</w:t>
      </w:r>
    </w:p>
    <w:p w14:paraId="0D4CA68B" w14:textId="25B9F819" w:rsidR="00E57424" w:rsidRPr="008C2786" w:rsidRDefault="00B52767" w:rsidP="008C2786">
      <w:pPr>
        <w:spacing w:line="360" w:lineRule="auto"/>
        <w:jc w:val="both"/>
        <w:rPr>
          <w:rFonts w:ascii="Times New Roman" w:hAnsi="Times New Roman" w:cs="Times New Roman"/>
        </w:rPr>
      </w:pPr>
      <w:r>
        <w:rPr>
          <w:rFonts w:ascii="Times New Roman" w:hAnsi="Times New Roman" w:cs="Times New Roman"/>
        </w:rPr>
        <w:t>5</w:t>
      </w:r>
      <w:r w:rsidR="00E57424" w:rsidRPr="008C2786">
        <w:rPr>
          <w:rFonts w:ascii="Times New Roman" w:hAnsi="Times New Roman" w:cs="Times New Roman"/>
        </w:rPr>
        <w:t xml:space="preserve">. Challenges in Satellite Data Communication .......................................... </w:t>
      </w:r>
      <w:r w:rsidR="007A4190">
        <w:rPr>
          <w:rFonts w:ascii="Times New Roman" w:hAnsi="Times New Roman" w:cs="Times New Roman"/>
        </w:rPr>
        <w:t>1</w:t>
      </w:r>
      <w:r w:rsidR="00401D6E">
        <w:rPr>
          <w:rFonts w:ascii="Times New Roman" w:hAnsi="Times New Roman" w:cs="Times New Roman"/>
        </w:rPr>
        <w:t>4</w:t>
      </w:r>
    </w:p>
    <w:p w14:paraId="509DCAA8" w14:textId="555413E9" w:rsidR="00E57424" w:rsidRPr="008C2786" w:rsidRDefault="00B52767" w:rsidP="008C2786">
      <w:pPr>
        <w:spacing w:line="360" w:lineRule="auto"/>
        <w:jc w:val="both"/>
        <w:rPr>
          <w:rFonts w:ascii="Times New Roman" w:hAnsi="Times New Roman" w:cs="Times New Roman"/>
        </w:rPr>
      </w:pPr>
      <w:r>
        <w:rPr>
          <w:rFonts w:ascii="Times New Roman" w:hAnsi="Times New Roman" w:cs="Times New Roman"/>
        </w:rPr>
        <w:t>6</w:t>
      </w:r>
      <w:r w:rsidR="00E57424" w:rsidRPr="008C2786">
        <w:rPr>
          <w:rFonts w:ascii="Times New Roman" w:hAnsi="Times New Roman" w:cs="Times New Roman"/>
        </w:rPr>
        <w:t xml:space="preserve">. Future Trends: 6G Integration &amp; AI Operations ..................................... </w:t>
      </w:r>
      <w:r w:rsidR="007A4190">
        <w:rPr>
          <w:rFonts w:ascii="Times New Roman" w:hAnsi="Times New Roman" w:cs="Times New Roman"/>
        </w:rPr>
        <w:t>1</w:t>
      </w:r>
      <w:r w:rsidR="00401D6E">
        <w:rPr>
          <w:rFonts w:ascii="Times New Roman" w:hAnsi="Times New Roman" w:cs="Times New Roman"/>
        </w:rPr>
        <w:t>6</w:t>
      </w:r>
    </w:p>
    <w:p w14:paraId="507476A8" w14:textId="5410DDE3" w:rsidR="00E57424" w:rsidRPr="008C2786" w:rsidRDefault="00B52767" w:rsidP="008C2786">
      <w:pPr>
        <w:spacing w:line="360" w:lineRule="auto"/>
        <w:jc w:val="both"/>
        <w:rPr>
          <w:rFonts w:ascii="Times New Roman" w:hAnsi="Times New Roman" w:cs="Times New Roman"/>
        </w:rPr>
      </w:pPr>
      <w:r>
        <w:rPr>
          <w:rFonts w:ascii="Times New Roman" w:hAnsi="Times New Roman" w:cs="Times New Roman"/>
        </w:rPr>
        <w:t>7</w:t>
      </w:r>
      <w:r w:rsidR="00E57424" w:rsidRPr="008C2786">
        <w:rPr>
          <w:rFonts w:ascii="Times New Roman" w:hAnsi="Times New Roman" w:cs="Times New Roman"/>
        </w:rPr>
        <w:t xml:space="preserve">. Conclusion .............................................................................................. </w:t>
      </w:r>
      <w:r w:rsidR="007A4190">
        <w:rPr>
          <w:rFonts w:ascii="Times New Roman" w:hAnsi="Times New Roman" w:cs="Times New Roman"/>
        </w:rPr>
        <w:t>1</w:t>
      </w:r>
      <w:r w:rsidR="00401D6E">
        <w:rPr>
          <w:rFonts w:ascii="Times New Roman" w:hAnsi="Times New Roman" w:cs="Times New Roman"/>
        </w:rPr>
        <w:t>7</w:t>
      </w:r>
    </w:p>
    <w:p w14:paraId="1EF8ECE4" w14:textId="46E9F379" w:rsidR="00E57424" w:rsidRPr="008C2786" w:rsidRDefault="00B52767" w:rsidP="008C2786">
      <w:pPr>
        <w:spacing w:line="360" w:lineRule="auto"/>
        <w:jc w:val="both"/>
        <w:rPr>
          <w:rFonts w:ascii="Times New Roman" w:hAnsi="Times New Roman" w:cs="Times New Roman"/>
        </w:rPr>
      </w:pPr>
      <w:r>
        <w:rPr>
          <w:rFonts w:ascii="Times New Roman" w:hAnsi="Times New Roman" w:cs="Times New Roman"/>
        </w:rPr>
        <w:t>8</w:t>
      </w:r>
      <w:r w:rsidR="00E57424" w:rsidRPr="008C2786">
        <w:rPr>
          <w:rFonts w:ascii="Times New Roman" w:hAnsi="Times New Roman" w:cs="Times New Roman"/>
        </w:rPr>
        <w:t xml:space="preserve">. References .............................................................................................. </w:t>
      </w:r>
      <w:r w:rsidR="007A4190">
        <w:rPr>
          <w:rFonts w:ascii="Times New Roman" w:hAnsi="Times New Roman" w:cs="Times New Roman"/>
        </w:rPr>
        <w:t>1</w:t>
      </w:r>
      <w:r w:rsidR="00401D6E">
        <w:rPr>
          <w:rFonts w:ascii="Times New Roman" w:hAnsi="Times New Roman" w:cs="Times New Roman"/>
        </w:rPr>
        <w:t>8</w:t>
      </w:r>
    </w:p>
    <w:p w14:paraId="1D082544" w14:textId="77777777" w:rsidR="00E57424" w:rsidRPr="00E57424" w:rsidRDefault="00E57424" w:rsidP="00E57424">
      <w:pPr>
        <w:spacing w:line="360" w:lineRule="auto"/>
        <w:jc w:val="both"/>
        <w:rPr>
          <w:rFonts w:ascii="Times New Roman" w:hAnsi="Times New Roman" w:cs="Times New Roman"/>
        </w:rPr>
      </w:pPr>
    </w:p>
    <w:p w14:paraId="33AF4EB6" w14:textId="28997360" w:rsidR="00E57424" w:rsidRPr="00E57424" w:rsidRDefault="007F2875" w:rsidP="008C2786">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C67C2EB" w14:textId="77777777" w:rsidR="000D1643" w:rsidRDefault="000D1643" w:rsidP="000D1643">
      <w:pPr>
        <w:spacing w:line="360" w:lineRule="auto"/>
        <w:jc w:val="both"/>
        <w:rPr>
          <w:rFonts w:ascii="Times New Roman" w:hAnsi="Times New Roman" w:cs="Times New Roman"/>
          <w:b/>
          <w:bCs/>
        </w:rPr>
      </w:pPr>
    </w:p>
    <w:p w14:paraId="1876D241" w14:textId="77777777" w:rsidR="000D1643" w:rsidRDefault="000D1643" w:rsidP="000D1643">
      <w:pPr>
        <w:spacing w:line="360" w:lineRule="auto"/>
        <w:jc w:val="both"/>
        <w:rPr>
          <w:rFonts w:ascii="Times New Roman" w:hAnsi="Times New Roman" w:cs="Times New Roman"/>
          <w:b/>
          <w:bCs/>
        </w:rPr>
      </w:pPr>
    </w:p>
    <w:p w14:paraId="65493C65" w14:textId="77777777" w:rsidR="000D1643" w:rsidRDefault="000D1643" w:rsidP="000D1643">
      <w:pPr>
        <w:spacing w:line="360" w:lineRule="auto"/>
        <w:jc w:val="both"/>
        <w:rPr>
          <w:rFonts w:ascii="Times New Roman" w:hAnsi="Times New Roman" w:cs="Times New Roman"/>
          <w:b/>
          <w:bCs/>
        </w:rPr>
      </w:pPr>
    </w:p>
    <w:p w14:paraId="5252BDF3" w14:textId="77777777" w:rsidR="00E57424" w:rsidRPr="00E57424" w:rsidRDefault="00E57424" w:rsidP="00E57424">
      <w:pPr>
        <w:spacing w:line="360" w:lineRule="auto"/>
        <w:jc w:val="both"/>
        <w:rPr>
          <w:rFonts w:ascii="Times New Roman" w:hAnsi="Times New Roman" w:cs="Times New Roman"/>
        </w:rPr>
      </w:pPr>
    </w:p>
    <w:p w14:paraId="432AD352" w14:textId="77777777" w:rsidR="00B52767" w:rsidRDefault="00B52767" w:rsidP="008C2786">
      <w:pPr>
        <w:spacing w:line="360" w:lineRule="auto"/>
        <w:ind w:left="60"/>
        <w:jc w:val="both"/>
        <w:rPr>
          <w:rFonts w:ascii="Times New Roman" w:hAnsi="Times New Roman" w:cs="Times New Roman"/>
          <w:b/>
          <w:bCs/>
        </w:rPr>
      </w:pPr>
    </w:p>
    <w:p w14:paraId="4A89ACB3" w14:textId="77777777" w:rsidR="00A54D51" w:rsidRDefault="00A54D51" w:rsidP="008C2786">
      <w:pPr>
        <w:spacing w:line="360" w:lineRule="auto"/>
        <w:ind w:left="60"/>
        <w:jc w:val="both"/>
        <w:rPr>
          <w:rFonts w:ascii="Times New Roman" w:hAnsi="Times New Roman" w:cs="Times New Roman"/>
          <w:b/>
          <w:bCs/>
        </w:rPr>
      </w:pPr>
    </w:p>
    <w:p w14:paraId="3013DD3A" w14:textId="7EBD9853" w:rsidR="00E57424" w:rsidRPr="008C2786" w:rsidRDefault="00F57792" w:rsidP="008C2786">
      <w:pPr>
        <w:spacing w:line="360" w:lineRule="auto"/>
        <w:ind w:left="60"/>
        <w:jc w:val="both"/>
        <w:rPr>
          <w:rFonts w:ascii="Times New Roman" w:hAnsi="Times New Roman" w:cs="Times New Roman"/>
        </w:rPr>
      </w:pPr>
      <w:r>
        <w:rPr>
          <w:rFonts w:ascii="Times New Roman" w:hAnsi="Times New Roman" w:cs="Times New Roman"/>
          <w:b/>
          <w:bCs/>
        </w:rPr>
        <w:lastRenderedPageBreak/>
        <w:t>1</w:t>
      </w:r>
      <w:r w:rsidR="00E57424" w:rsidRPr="008C2786">
        <w:rPr>
          <w:rFonts w:ascii="Times New Roman" w:hAnsi="Times New Roman" w:cs="Times New Roman"/>
        </w:rPr>
        <w:t xml:space="preserve">. </w:t>
      </w:r>
      <w:r w:rsidR="00E57424" w:rsidRPr="008C2786">
        <w:rPr>
          <w:rFonts w:ascii="Times New Roman" w:hAnsi="Times New Roman" w:cs="Times New Roman"/>
          <w:b/>
          <w:bCs/>
          <w:u w:val="single"/>
        </w:rPr>
        <w:t xml:space="preserve">INTRODUCTION </w:t>
      </w:r>
    </w:p>
    <w:p w14:paraId="051AD75C" w14:textId="77777777" w:rsidR="00E57424" w:rsidRPr="00E57424" w:rsidRDefault="00E57424" w:rsidP="00E57424">
      <w:pPr>
        <w:spacing w:line="360" w:lineRule="auto"/>
        <w:jc w:val="both"/>
        <w:rPr>
          <w:rFonts w:ascii="Times New Roman" w:hAnsi="Times New Roman" w:cs="Times New Roman"/>
        </w:rPr>
      </w:pPr>
    </w:p>
    <w:p w14:paraId="71C49D5D"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The evolution of satellite communication has transformed from simple analog “bent-pipe” repeaters to sophisticated digital processors enabling global broadband connectivity. Since the launch of Sputnik 1 in 1957, satellite systems have become indispensable for telephony, television broadcasting, navigation, earth observation, and internet backhaul (Pelton, 2019). Today, over 5,000 active satellites orbit Earth, with mega-constellations like Starlink (over 6,000 satellites as of 2025) and OneWeb (approximately 650) promising low-latency, high-throughput data services to every corner of the planet (Masenga &amp; Anatory, 2022).</w:t>
      </w:r>
    </w:p>
    <w:p w14:paraId="1ED5FACA" w14:textId="77777777" w:rsidR="00E57424" w:rsidRPr="00E57424" w:rsidRDefault="00E57424" w:rsidP="00E57424">
      <w:pPr>
        <w:spacing w:line="360" w:lineRule="auto"/>
        <w:jc w:val="both"/>
        <w:rPr>
          <w:rFonts w:ascii="Times New Roman" w:hAnsi="Times New Roman" w:cs="Times New Roman"/>
        </w:rPr>
      </w:pPr>
    </w:p>
    <w:p w14:paraId="1202D08E" w14:textId="3D01CFBB"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xml:space="preserve">The central thesis of this research essay is that **High-Throughput Satellite (HTS) spot beam technology – colloquially termed “Satellite Zooming” – represents the most significant paradigm shift in data communication since the introduction of fiber </w:t>
      </w:r>
      <w:r w:rsidR="008C2786" w:rsidRPr="00E57424">
        <w:rPr>
          <w:rFonts w:ascii="Times New Roman" w:hAnsi="Times New Roman" w:cs="Times New Roman"/>
        </w:rPr>
        <w:t xml:space="preserve">optics. </w:t>
      </w:r>
      <w:r w:rsidRPr="00E57424">
        <w:rPr>
          <w:rFonts w:ascii="Times New Roman" w:hAnsi="Times New Roman" w:cs="Times New Roman"/>
        </w:rPr>
        <w:t xml:space="preserve"> Unlike conventional wide-beam satellites that illuminate entire continents with uniform power, HTS systems employ multiple narrow spot beams, each focusing energy on a specific geographic cell. This approach enables massive frequency reuse, increasing spectral efficiency by factors of 20 to 100 compared to traditional Fixed Satellite Service (FSS) (Fenech et al., 2019).</w:t>
      </w:r>
    </w:p>
    <w:p w14:paraId="1107A1C5" w14:textId="77777777" w:rsidR="00E57424" w:rsidRPr="00E57424" w:rsidRDefault="00E57424" w:rsidP="00E57424">
      <w:pPr>
        <w:spacing w:line="360" w:lineRule="auto"/>
        <w:jc w:val="both"/>
        <w:rPr>
          <w:rFonts w:ascii="Times New Roman" w:hAnsi="Times New Roman" w:cs="Times New Roman"/>
        </w:rPr>
      </w:pPr>
    </w:p>
    <w:p w14:paraId="6CD5AF4C" w14:textId="14A53F29" w:rsidR="00E57424" w:rsidRPr="008C2786" w:rsidRDefault="00E57424" w:rsidP="00E57424">
      <w:pPr>
        <w:spacing w:line="360" w:lineRule="auto"/>
        <w:jc w:val="both"/>
        <w:rPr>
          <w:rFonts w:ascii="Times New Roman" w:hAnsi="Times New Roman" w:cs="Times New Roman"/>
          <w:b/>
          <w:bCs/>
          <w:u w:val="single"/>
        </w:rPr>
      </w:pPr>
      <w:r w:rsidRPr="00E57424">
        <w:rPr>
          <w:rFonts w:ascii="Times New Roman" w:hAnsi="Times New Roman" w:cs="Times New Roman"/>
        </w:rPr>
        <w:t xml:space="preserve"> </w:t>
      </w:r>
      <w:r w:rsidRPr="008C2786">
        <w:rPr>
          <w:rFonts w:ascii="Times New Roman" w:hAnsi="Times New Roman" w:cs="Times New Roman"/>
          <w:b/>
          <w:bCs/>
          <w:u w:val="single"/>
        </w:rPr>
        <w:t>Historical Context</w:t>
      </w:r>
    </w:p>
    <w:p w14:paraId="5CB2E14E" w14:textId="77777777" w:rsidR="00E57424" w:rsidRPr="00E57424" w:rsidRDefault="00E57424" w:rsidP="00E57424">
      <w:pPr>
        <w:spacing w:line="360" w:lineRule="auto"/>
        <w:jc w:val="both"/>
        <w:rPr>
          <w:rFonts w:ascii="Times New Roman" w:hAnsi="Times New Roman" w:cs="Times New Roman"/>
        </w:rPr>
      </w:pPr>
    </w:p>
    <w:p w14:paraId="557A605A"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Early satellite communication relied on GEO orbits at 35,786 km altitude, where a single satellite could cover one-third of Earth’s surface. The INTELSAT series (1965–present) dominated international telephony and television distribution. However, GEO’s inherent latency of approximately 250 milliseconds (round-trip) proved problematic for interactive applications and real-time control (Roddy, 2018). The 1990s saw ambitious LEO constellations like Iridium and Globalstar, but high costs and limited bandwidth led to commercial failures. The resurgence of LEO began in 2015 with SpaceX’s Starlink, enabled by low-cost launch, phased-array antennas, and advanced digital signal processing (del Portillo et al., 2019).</w:t>
      </w:r>
    </w:p>
    <w:p w14:paraId="7160A377" w14:textId="727D58B4" w:rsidR="00E57424" w:rsidRPr="008C2786" w:rsidRDefault="00E57424" w:rsidP="00E57424">
      <w:pPr>
        <w:spacing w:line="360" w:lineRule="auto"/>
        <w:jc w:val="both"/>
        <w:rPr>
          <w:rFonts w:ascii="Times New Roman" w:hAnsi="Times New Roman" w:cs="Times New Roman"/>
          <w:b/>
          <w:bCs/>
          <w:u w:val="single"/>
        </w:rPr>
      </w:pPr>
      <w:r w:rsidRPr="00E57424">
        <w:rPr>
          <w:rFonts w:ascii="Times New Roman" w:hAnsi="Times New Roman" w:cs="Times New Roman"/>
        </w:rPr>
        <w:lastRenderedPageBreak/>
        <w:t xml:space="preserve"> </w:t>
      </w:r>
      <w:r w:rsidRPr="008C2786">
        <w:rPr>
          <w:rFonts w:ascii="Times New Roman" w:hAnsi="Times New Roman" w:cs="Times New Roman"/>
          <w:b/>
          <w:bCs/>
          <w:u w:val="single"/>
        </w:rPr>
        <w:t>The Bandwidth Crunch and HTS Solution</w:t>
      </w:r>
    </w:p>
    <w:p w14:paraId="236C0B9C" w14:textId="77777777" w:rsidR="00E57424" w:rsidRPr="00E57424" w:rsidRDefault="00E57424" w:rsidP="00E57424">
      <w:pPr>
        <w:spacing w:line="360" w:lineRule="auto"/>
        <w:jc w:val="both"/>
        <w:rPr>
          <w:rFonts w:ascii="Times New Roman" w:hAnsi="Times New Roman" w:cs="Times New Roman"/>
        </w:rPr>
      </w:pPr>
    </w:p>
    <w:p w14:paraId="0306316C"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Global IP traffic is projected to reach 396 exabytes per month by 2026 (Cisco VNI, 2023). Terrestrial fiber optic networks serve only ~40% of Earth’s land area and virtually none of the oceans, polar regions, or remote wilderness. Satellite systems bridge this digital divide, but conventional satellites offer total capacities of 1–5 Gbps. HTS systems such as Viasat-3 (1 Tbps) and Starlink (constellation aggregate &gt;200 Tbps) achieve these gains through three innovations: (1) multiple spot beams, (2) frequency reuse across beams, and (3) bent-pipe or regenerative processing (Liolis et al., 2021).</w:t>
      </w:r>
    </w:p>
    <w:p w14:paraId="1FA2B63B" w14:textId="77777777" w:rsidR="00E57424" w:rsidRPr="00E57424" w:rsidRDefault="00E57424" w:rsidP="00E57424">
      <w:pPr>
        <w:spacing w:line="360" w:lineRule="auto"/>
        <w:jc w:val="both"/>
        <w:rPr>
          <w:rFonts w:ascii="Times New Roman" w:hAnsi="Times New Roman" w:cs="Times New Roman"/>
        </w:rPr>
      </w:pPr>
    </w:p>
    <w:p w14:paraId="4035BF8A" w14:textId="68AFCA3A" w:rsidR="00E57424" w:rsidRPr="008C2786" w:rsidRDefault="00E57424" w:rsidP="00E57424">
      <w:pPr>
        <w:spacing w:line="360" w:lineRule="auto"/>
        <w:jc w:val="both"/>
        <w:rPr>
          <w:rFonts w:ascii="Times New Roman" w:hAnsi="Times New Roman" w:cs="Times New Roman"/>
          <w:b/>
          <w:bCs/>
          <w:u w:val="single"/>
        </w:rPr>
      </w:pPr>
      <w:r w:rsidRPr="008C2786">
        <w:rPr>
          <w:rFonts w:ascii="Times New Roman" w:hAnsi="Times New Roman" w:cs="Times New Roman"/>
          <w:b/>
          <w:bCs/>
          <w:u w:val="single"/>
        </w:rPr>
        <w:t xml:space="preserve"> Scope and Structure of the Essay</w:t>
      </w:r>
    </w:p>
    <w:p w14:paraId="6901F443" w14:textId="77777777" w:rsidR="00E57424" w:rsidRPr="00E57424" w:rsidRDefault="00E57424" w:rsidP="00E57424">
      <w:pPr>
        <w:spacing w:line="360" w:lineRule="auto"/>
        <w:jc w:val="both"/>
        <w:rPr>
          <w:rFonts w:ascii="Times New Roman" w:hAnsi="Times New Roman" w:cs="Times New Roman"/>
        </w:rPr>
      </w:pPr>
    </w:p>
    <w:p w14:paraId="0B049419"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This essay is organized into six main sections following the assignment requirements. Section 2 explains the technical principles of orbital mechanics, frequency spectrum, and modulation schemes. Section 3 provides an in-depth exploration of Satellite Zooming/HTS technology, including link budget calculations for spot beam systems. Section 4 offers a comparative analysis of satellite versus terrestrial communication. Section 5 addresses four major challenges: atmospheric attenuation, latency, orbital debris, and cybersecurity. Section 6 examines future trends, specifically 6G integration and AI-driven autonomous satellite operations. A comprehensive conclusion synthesizes findings and recommends future research directions.</w:t>
      </w:r>
    </w:p>
    <w:p w14:paraId="49B229D2" w14:textId="77777777" w:rsidR="00E57424" w:rsidRPr="00E57424" w:rsidRDefault="00E57424" w:rsidP="00E57424">
      <w:pPr>
        <w:spacing w:line="360" w:lineRule="auto"/>
        <w:jc w:val="both"/>
        <w:rPr>
          <w:rFonts w:ascii="Times New Roman" w:hAnsi="Times New Roman" w:cs="Times New Roman"/>
        </w:rPr>
      </w:pPr>
    </w:p>
    <w:p w14:paraId="7DA4F032" w14:textId="2F85B843" w:rsidR="008C2786" w:rsidRDefault="008C2786"/>
    <w:p w14:paraId="03940FA7" w14:textId="5A07F092" w:rsidR="008C2786" w:rsidRDefault="008C2786" w:rsidP="00E57424">
      <w:pPr>
        <w:spacing w:line="360" w:lineRule="auto"/>
        <w:jc w:val="both"/>
        <w:rPr>
          <w:rFonts w:ascii="Times New Roman" w:hAnsi="Times New Roman" w:cs="Times New Roman"/>
        </w:rPr>
      </w:pPr>
    </w:p>
    <w:p w14:paraId="5DC497FF" w14:textId="77777777" w:rsidR="008C2786" w:rsidRDefault="008C2786" w:rsidP="00E57424">
      <w:pPr>
        <w:spacing w:line="360" w:lineRule="auto"/>
        <w:jc w:val="both"/>
        <w:rPr>
          <w:rFonts w:ascii="Times New Roman" w:hAnsi="Times New Roman" w:cs="Times New Roman"/>
        </w:rPr>
      </w:pPr>
    </w:p>
    <w:p w14:paraId="3F040DD7" w14:textId="77777777" w:rsidR="008C2786" w:rsidRDefault="008C2786" w:rsidP="00E57424">
      <w:pPr>
        <w:spacing w:line="360" w:lineRule="auto"/>
        <w:jc w:val="both"/>
        <w:rPr>
          <w:rFonts w:ascii="Times New Roman" w:hAnsi="Times New Roman" w:cs="Times New Roman"/>
        </w:rPr>
      </w:pPr>
    </w:p>
    <w:p w14:paraId="0CF5010D" w14:textId="77777777" w:rsidR="00BB7DD6" w:rsidRDefault="00BB7DD6" w:rsidP="00E57424">
      <w:pPr>
        <w:spacing w:line="360" w:lineRule="auto"/>
        <w:jc w:val="both"/>
        <w:rPr>
          <w:rFonts w:ascii="Times New Roman" w:hAnsi="Times New Roman" w:cs="Times New Roman"/>
          <w:b/>
          <w:bCs/>
        </w:rPr>
      </w:pPr>
    </w:p>
    <w:p w14:paraId="6D15A531" w14:textId="77777777" w:rsidR="00A54D51" w:rsidRDefault="00E57424" w:rsidP="00E57424">
      <w:pPr>
        <w:spacing w:line="360" w:lineRule="auto"/>
        <w:jc w:val="both"/>
        <w:rPr>
          <w:rFonts w:ascii="Times New Roman" w:hAnsi="Times New Roman" w:cs="Times New Roman"/>
          <w:b/>
          <w:bCs/>
        </w:rPr>
      </w:pPr>
      <w:r w:rsidRPr="008C2786">
        <w:rPr>
          <w:rFonts w:ascii="Times New Roman" w:hAnsi="Times New Roman" w:cs="Times New Roman"/>
          <w:b/>
          <w:bCs/>
        </w:rPr>
        <w:lastRenderedPageBreak/>
        <w:t xml:space="preserve"> </w:t>
      </w:r>
      <w:r w:rsidR="00F57792">
        <w:rPr>
          <w:rFonts w:ascii="Times New Roman" w:hAnsi="Times New Roman" w:cs="Times New Roman"/>
          <w:b/>
          <w:bCs/>
        </w:rPr>
        <w:t>2</w:t>
      </w:r>
      <w:r w:rsidRPr="008C2786">
        <w:rPr>
          <w:rFonts w:ascii="Times New Roman" w:hAnsi="Times New Roman" w:cs="Times New Roman"/>
          <w:b/>
          <w:bCs/>
        </w:rPr>
        <w:t xml:space="preserve">. </w:t>
      </w:r>
      <w:r w:rsidRPr="008C2786">
        <w:rPr>
          <w:rFonts w:ascii="Times New Roman" w:hAnsi="Times New Roman" w:cs="Times New Roman"/>
          <w:b/>
          <w:bCs/>
          <w:u w:val="single"/>
        </w:rPr>
        <w:t>TECHNICAL PRINCIPLES OF SATELLITE COMMUNICATION</w:t>
      </w:r>
    </w:p>
    <w:p w14:paraId="28C25D1A" w14:textId="22107999" w:rsidR="00E57424" w:rsidRPr="00A54D51" w:rsidRDefault="00E57424" w:rsidP="00E57424">
      <w:pPr>
        <w:spacing w:line="360" w:lineRule="auto"/>
        <w:jc w:val="both"/>
        <w:rPr>
          <w:rFonts w:ascii="Times New Roman" w:hAnsi="Times New Roman" w:cs="Times New Roman"/>
          <w:b/>
          <w:bCs/>
        </w:rPr>
      </w:pPr>
      <w:r w:rsidRPr="00E57424">
        <w:rPr>
          <w:rFonts w:ascii="Times New Roman" w:hAnsi="Times New Roman" w:cs="Times New Roman"/>
        </w:rPr>
        <w:t>Orbital Mechanics: LEO, MEO, GEO</w:t>
      </w:r>
    </w:p>
    <w:p w14:paraId="4B97EF0D" w14:textId="17F3E00B"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Satellites are placed into specific orbits depending on mission requirements.</w:t>
      </w:r>
    </w:p>
    <w:p w14:paraId="7640A33C" w14:textId="0B15AC41" w:rsidR="00E57424" w:rsidRPr="00E57424" w:rsidRDefault="00E57424" w:rsidP="00E57424">
      <w:pPr>
        <w:spacing w:line="360" w:lineRule="auto"/>
        <w:jc w:val="both"/>
        <w:rPr>
          <w:rFonts w:ascii="Times New Roman" w:hAnsi="Times New Roman" w:cs="Times New Roman"/>
        </w:rPr>
      </w:pPr>
      <w:r w:rsidRPr="001B1119">
        <w:rPr>
          <w:rFonts w:ascii="Times New Roman" w:hAnsi="Times New Roman" w:cs="Times New Roman"/>
          <w:b/>
          <w:bCs/>
        </w:rPr>
        <w:t>Table 1</w:t>
      </w:r>
      <w:r w:rsidRPr="00E57424">
        <w:rPr>
          <w:rFonts w:ascii="Times New Roman" w:hAnsi="Times New Roman" w:cs="Times New Roman"/>
        </w:rPr>
        <w:t>: Comparison of LEO, MEO, and GEO Orbits</w:t>
      </w:r>
    </w:p>
    <w:p w14:paraId="62A74066"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Parameter | LEO (Low Earth Orbit) | MEO (Medium Earth Orbit) | GEO (Geostationary) |</w:t>
      </w:r>
    </w:p>
    <w:p w14:paraId="455E7B18"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w:t>
      </w:r>
    </w:p>
    <w:p w14:paraId="54A53317"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Altitude | 160 – 2,000 km | 2,000 – 35,786 km | 35,786 km |</w:t>
      </w:r>
    </w:p>
    <w:p w14:paraId="60A5DE5B"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Orbital period | 90 – 120 min | 2 – 12 hours | 24 hours |</w:t>
      </w:r>
    </w:p>
    <w:p w14:paraId="56504391"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Typical latency (one-way) | 1 – 10 ms | 30 – 80 ms | ~125 ms |</w:t>
      </w:r>
    </w:p>
    <w:p w14:paraId="603CEAD7"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Coverage per satellite | Small (radius ~2,000 km) | Moderate | ~1/3 of Earth |</w:t>
      </w:r>
    </w:p>
    <w:p w14:paraId="1C0A19CB"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Number needed for global coverage | 600+ | 10–20 | 3 |</w:t>
      </w:r>
    </w:p>
    <w:p w14:paraId="4A8C3280"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Examples | Starlink, OneWeb, Iridium | GPS, Galileo, O3b | Inmarsat, Viasat, DirecTV |</w:t>
      </w:r>
    </w:p>
    <w:p w14:paraId="0BAB1F25" w14:textId="0842FB2F"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xml:space="preserve"> Orbital regimes: LEO, MEO, GEO (illustration)</w:t>
      </w:r>
    </w:p>
    <w:p w14:paraId="3ED69433" w14:textId="4BA48255"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xml:space="preserve">Diagram description: Draw three concentric circles representing Earth (center), LEO (inner, dense ring of satellites), MEO (middle ring with fewer satellites), and GEO (outer ring with three evenly spaced satellites). Label altitudes and typical </w:t>
      </w:r>
      <w:r w:rsidR="001B1119" w:rsidRPr="00E57424">
        <w:rPr>
          <w:rFonts w:ascii="Times New Roman" w:hAnsi="Times New Roman" w:cs="Times New Roman"/>
        </w:rPr>
        <w:t>missions.</w:t>
      </w:r>
    </w:p>
    <w:p w14:paraId="5E2A9A30" w14:textId="71D2F7A9" w:rsidR="00A54D51" w:rsidRDefault="00A54D51" w:rsidP="00E57424">
      <w:pPr>
        <w:spacing w:line="360" w:lineRule="auto"/>
        <w:jc w:val="both"/>
        <w:rPr>
          <w:rFonts w:ascii="Times New Roman" w:hAnsi="Times New Roman" w:cs="Times New Roman"/>
        </w:rPr>
      </w:pPr>
      <w:r w:rsidRPr="00A54D51">
        <w:rPr>
          <w:rFonts w:ascii="Times New Roman" w:hAnsi="Times New Roman" w:cs="Times New Roman"/>
        </w:rPr>
        <w:lastRenderedPageBreak/>
        <w:drawing>
          <wp:inline distT="0" distB="0" distL="0" distR="0" wp14:anchorId="45740827" wp14:editId="5DCA3210">
            <wp:extent cx="5943600" cy="5943600"/>
            <wp:effectExtent l="0" t="0" r="0" b="0"/>
            <wp:docPr id="83182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23418" name=""/>
                    <pic:cNvPicPr/>
                  </pic:nvPicPr>
                  <pic:blipFill>
                    <a:blip r:embed="rId7"/>
                    <a:stretch>
                      <a:fillRect/>
                    </a:stretch>
                  </pic:blipFill>
                  <pic:spPr>
                    <a:xfrm>
                      <a:off x="0" y="0"/>
                      <a:ext cx="5943600" cy="5943600"/>
                    </a:xfrm>
                    <a:prstGeom prst="rect">
                      <a:avLst/>
                    </a:prstGeom>
                  </pic:spPr>
                </pic:pic>
              </a:graphicData>
            </a:graphic>
          </wp:inline>
        </w:drawing>
      </w:r>
    </w:p>
    <w:p w14:paraId="33FB4068" w14:textId="77777777" w:rsidR="00A54D51" w:rsidRDefault="00A54D51" w:rsidP="00E57424">
      <w:pPr>
        <w:spacing w:line="360" w:lineRule="auto"/>
        <w:jc w:val="both"/>
        <w:rPr>
          <w:rFonts w:ascii="Times New Roman" w:hAnsi="Times New Roman" w:cs="Times New Roman"/>
        </w:rPr>
      </w:pPr>
    </w:p>
    <w:p w14:paraId="503A00FE" w14:textId="77777777" w:rsidR="00A54D51" w:rsidRDefault="00A54D51" w:rsidP="00E57424">
      <w:pPr>
        <w:spacing w:line="360" w:lineRule="auto"/>
        <w:jc w:val="both"/>
        <w:rPr>
          <w:rFonts w:ascii="Times New Roman" w:hAnsi="Times New Roman" w:cs="Times New Roman"/>
        </w:rPr>
      </w:pPr>
    </w:p>
    <w:p w14:paraId="5D686E97" w14:textId="77777777" w:rsidR="00A54D51" w:rsidRDefault="00A54D51" w:rsidP="00E57424">
      <w:pPr>
        <w:spacing w:line="360" w:lineRule="auto"/>
        <w:jc w:val="both"/>
        <w:rPr>
          <w:rFonts w:ascii="Times New Roman" w:hAnsi="Times New Roman" w:cs="Times New Roman"/>
        </w:rPr>
      </w:pPr>
    </w:p>
    <w:p w14:paraId="26C9C2E0" w14:textId="77777777" w:rsidR="00A54D51" w:rsidRDefault="00E57424" w:rsidP="00E57424">
      <w:pPr>
        <w:spacing w:line="360" w:lineRule="auto"/>
        <w:jc w:val="both"/>
        <w:rPr>
          <w:rFonts w:ascii="Times New Roman" w:hAnsi="Times New Roman" w:cs="Times New Roman"/>
        </w:rPr>
      </w:pPr>
      <w:r w:rsidRPr="00E57424">
        <w:rPr>
          <w:rFonts w:ascii="Times New Roman" w:hAnsi="Times New Roman" w:cs="Times New Roman"/>
        </w:rPr>
        <w:t>The choice of orbit affects link budget, Doppler shift, handover frequency, and radiation exposure. LEO constellations require complex inter-satellite links (ISLs) and frequent handovers as satellites move at ~7.8 km/s relative to the ground. GEO satellites appear fixed in the sky, simplifying antenna tracking but incurring high latency (Rao, 2020).</w:t>
      </w:r>
    </w:p>
    <w:p w14:paraId="47E73297" w14:textId="3F97349A" w:rsidR="00E57424" w:rsidRPr="00A54D51" w:rsidRDefault="00E57424" w:rsidP="00E57424">
      <w:pPr>
        <w:spacing w:line="360" w:lineRule="auto"/>
        <w:jc w:val="both"/>
        <w:rPr>
          <w:rFonts w:ascii="Times New Roman" w:hAnsi="Times New Roman" w:cs="Times New Roman"/>
        </w:rPr>
      </w:pPr>
      <w:r w:rsidRPr="001B1119">
        <w:rPr>
          <w:rFonts w:ascii="Times New Roman" w:hAnsi="Times New Roman" w:cs="Times New Roman"/>
          <w:b/>
          <w:bCs/>
          <w:u w:val="single"/>
        </w:rPr>
        <w:lastRenderedPageBreak/>
        <w:t>Frequency Spectrum Management</w:t>
      </w:r>
    </w:p>
    <w:p w14:paraId="2B32CDE2"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The radio frequency spectrum is allocated by the International Telecommunication Union (ITU) through the World Radiocommunication Conferences (WRC). Satellite communication primarily uses the following bands:</w:t>
      </w:r>
    </w:p>
    <w:p w14:paraId="3D697AB9"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Band | Uplink (GHz) | Downlink (GHz) | Advantages | Disadvantages |</w:t>
      </w:r>
    </w:p>
    <w:p w14:paraId="1295DCBB"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w:t>
      </w:r>
    </w:p>
    <w:p w14:paraId="1A41BD64"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C | 5.85 – 6.65 | 3.4 – 4.2 | Low rain fade, reliable | Large antennas, crowded |</w:t>
      </w:r>
    </w:p>
    <w:p w14:paraId="670B556E"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Ku | 14.0 – 14.5 | 10.7 – 12.75 | Moderate rain fade, popular for DTH | Congested, rain issues above 10° elevation |</w:t>
      </w:r>
    </w:p>
    <w:p w14:paraId="3480F034" w14:textId="77777777" w:rsidR="000C2EE4" w:rsidRDefault="00E57424" w:rsidP="00E57424">
      <w:pPr>
        <w:spacing w:line="360" w:lineRule="auto"/>
        <w:jc w:val="both"/>
        <w:rPr>
          <w:rFonts w:ascii="Times New Roman" w:hAnsi="Times New Roman" w:cs="Times New Roman"/>
        </w:rPr>
      </w:pPr>
      <w:r w:rsidRPr="00E57424">
        <w:rPr>
          <w:rFonts w:ascii="Times New Roman" w:hAnsi="Times New Roman" w:cs="Times New Roman"/>
        </w:rPr>
        <w:t>| Ka | 27.5 – 31.0 | 17.7 – 21.2 | Very high bandwidth, small antennas | Severe rain fade, atmospheric absorption |</w:t>
      </w:r>
    </w:p>
    <w:p w14:paraId="7C26CE7F" w14:textId="271D9244"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Higher frequencies (Q/V band at 40–50 GHz and W band at 75–110 GHz) are being explored for future HTS and terabit satellite links, but atmospheric attenuation becomes extreme (Aloisi et al., 2022).</w:t>
      </w:r>
    </w:p>
    <w:p w14:paraId="77CCD545" w14:textId="77777777" w:rsidR="00E57424" w:rsidRPr="00E57424" w:rsidRDefault="00E57424" w:rsidP="00E57424">
      <w:pPr>
        <w:spacing w:line="360" w:lineRule="auto"/>
        <w:jc w:val="both"/>
        <w:rPr>
          <w:rFonts w:ascii="Times New Roman" w:hAnsi="Times New Roman" w:cs="Times New Roman"/>
        </w:rPr>
      </w:pPr>
    </w:p>
    <w:p w14:paraId="081EB114" w14:textId="27E548B0" w:rsidR="00E57424" w:rsidRPr="001B1119" w:rsidRDefault="00E57424" w:rsidP="00E57424">
      <w:pPr>
        <w:spacing w:line="360" w:lineRule="auto"/>
        <w:jc w:val="both"/>
        <w:rPr>
          <w:rFonts w:ascii="Times New Roman" w:hAnsi="Times New Roman" w:cs="Times New Roman"/>
          <w:b/>
          <w:bCs/>
          <w:u w:val="single"/>
        </w:rPr>
      </w:pPr>
      <w:r w:rsidRPr="001B1119">
        <w:rPr>
          <w:rFonts w:ascii="Times New Roman" w:hAnsi="Times New Roman" w:cs="Times New Roman"/>
          <w:b/>
          <w:bCs/>
          <w:u w:val="single"/>
        </w:rPr>
        <w:t xml:space="preserve"> Signal Modulation and Coding</w:t>
      </w:r>
    </w:p>
    <w:p w14:paraId="5E14566A"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Modern satellite systems employ adaptive coding and modulation (ACM) to maximize throughput under varying channel conditions. Common schemes include:</w:t>
      </w:r>
    </w:p>
    <w:p w14:paraId="4D44135F" w14:textId="77777777" w:rsidR="00E57424" w:rsidRPr="00E57424" w:rsidRDefault="00E57424" w:rsidP="00E57424">
      <w:pPr>
        <w:spacing w:line="360" w:lineRule="auto"/>
        <w:jc w:val="both"/>
        <w:rPr>
          <w:rFonts w:ascii="Times New Roman" w:hAnsi="Times New Roman" w:cs="Times New Roman"/>
        </w:rPr>
      </w:pPr>
    </w:p>
    <w:p w14:paraId="47A80ECF" w14:textId="5C434F42"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QPSK (Quadrature Phase Shift Keying):</w:t>
      </w:r>
      <w:r w:rsidR="001B1119">
        <w:rPr>
          <w:rFonts w:ascii="Times New Roman" w:hAnsi="Times New Roman" w:cs="Times New Roman"/>
        </w:rPr>
        <w:t xml:space="preserve"> </w:t>
      </w:r>
      <w:r w:rsidRPr="00E57424">
        <w:rPr>
          <w:rFonts w:ascii="Times New Roman" w:hAnsi="Times New Roman" w:cs="Times New Roman"/>
        </w:rPr>
        <w:t>2 bits/symbol, robust, used in poor SNR.</w:t>
      </w:r>
    </w:p>
    <w:p w14:paraId="154CF93D" w14:textId="19724F6A"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8PSK: 3 bits/symbol.</w:t>
      </w:r>
    </w:p>
    <w:p w14:paraId="45024B10" w14:textId="67D9E175"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16APSK/32APSK: 4–5 bits/symbol, used in DVB-S2X standard.</w:t>
      </w:r>
    </w:p>
    <w:p w14:paraId="04067D9B" w14:textId="3D35D2AB"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64APSK/256APSK: Higher efficiency but requires excellent link conditions.</w:t>
      </w:r>
    </w:p>
    <w:p w14:paraId="080D6027" w14:textId="77777777" w:rsidR="00E57424" w:rsidRPr="00E57424" w:rsidRDefault="00E57424" w:rsidP="00E57424">
      <w:pPr>
        <w:spacing w:line="360" w:lineRule="auto"/>
        <w:jc w:val="both"/>
        <w:rPr>
          <w:rFonts w:ascii="Times New Roman" w:hAnsi="Times New Roman" w:cs="Times New Roman"/>
        </w:rPr>
      </w:pPr>
    </w:p>
    <w:p w14:paraId="042E7E88"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lastRenderedPageBreak/>
        <w:t>Forward error correction (FEC) using Low-Density Parity-Check (LDPC) codes achieves near-Shannon limit performance. DVB-S2X (Digital Video Broadcasting – Satellite – Second Generation Extended) is the current standard for broadband satellite, supporting ACM and roll-off factors as low as 5% (Morello &amp; Mignone, 2021).</w:t>
      </w:r>
    </w:p>
    <w:p w14:paraId="06B8CA07" w14:textId="77777777" w:rsidR="00E57424" w:rsidRPr="00E57424" w:rsidRDefault="00E57424" w:rsidP="00E57424">
      <w:pPr>
        <w:spacing w:line="360" w:lineRule="auto"/>
        <w:jc w:val="both"/>
        <w:rPr>
          <w:rFonts w:ascii="Times New Roman" w:hAnsi="Times New Roman" w:cs="Times New Roman"/>
        </w:rPr>
      </w:pPr>
    </w:p>
    <w:p w14:paraId="7A2B1EDE" w14:textId="552642D6" w:rsidR="00E57424" w:rsidRPr="00E57424" w:rsidRDefault="00E57424" w:rsidP="00E57424">
      <w:pPr>
        <w:spacing w:line="360" w:lineRule="auto"/>
        <w:jc w:val="both"/>
        <w:rPr>
          <w:rFonts w:ascii="Times New Roman" w:hAnsi="Times New Roman" w:cs="Times New Roman"/>
        </w:rPr>
      </w:pPr>
      <w:r w:rsidRPr="00BB7DD6">
        <w:rPr>
          <w:rFonts w:ascii="Times New Roman" w:hAnsi="Times New Roman" w:cs="Times New Roman"/>
          <w:b/>
          <w:bCs/>
        </w:rPr>
        <w:t xml:space="preserve">Link Budget </w:t>
      </w:r>
      <w:r w:rsidR="001B1119" w:rsidRPr="00BB7DD6">
        <w:rPr>
          <w:rFonts w:ascii="Times New Roman" w:hAnsi="Times New Roman" w:cs="Times New Roman"/>
          <w:b/>
          <w:bCs/>
        </w:rPr>
        <w:t>Example</w:t>
      </w:r>
      <w:r w:rsidR="001B1119" w:rsidRPr="00E57424">
        <w:rPr>
          <w:rFonts w:ascii="Times New Roman" w:hAnsi="Times New Roman" w:cs="Times New Roman"/>
        </w:rPr>
        <w:t>:</w:t>
      </w:r>
      <w:r w:rsidRPr="00E57424">
        <w:rPr>
          <w:rFonts w:ascii="Times New Roman" w:hAnsi="Times New Roman" w:cs="Times New Roman"/>
        </w:rPr>
        <w:t xml:space="preserve">  </w:t>
      </w:r>
    </w:p>
    <w:p w14:paraId="27EAE54E" w14:textId="4164C8BD"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For a Ka-band HTS spot beam with transmit power 10 W (40 dBm), transmit antenna gain 50 dBi, free space path loss at 20 GHz for 1,000 km distance = 188 dB, receive gain 40 dBi, system noise temperature 300 K (noise power -135 dBm). Received power = 40 + 50 - 188 + 40 = -58 dBm. SNR = -58 - (-135) = 77 dB. Accounting for fading, implementation loss, and interference, practical SNR ~12-15 dB supports 16APSK.</w:t>
      </w:r>
    </w:p>
    <w:p w14:paraId="45DA5790" w14:textId="77777777" w:rsidR="00335E61" w:rsidRDefault="00335E61" w:rsidP="00E57424">
      <w:pPr>
        <w:spacing w:line="360" w:lineRule="auto"/>
        <w:jc w:val="both"/>
        <w:rPr>
          <w:rFonts w:ascii="Times New Roman" w:hAnsi="Times New Roman" w:cs="Times New Roman"/>
        </w:rPr>
      </w:pPr>
    </w:p>
    <w:p w14:paraId="04B4DB51" w14:textId="77777777" w:rsidR="00335E61" w:rsidRDefault="00335E61" w:rsidP="00E57424">
      <w:pPr>
        <w:spacing w:line="360" w:lineRule="auto"/>
        <w:jc w:val="both"/>
        <w:rPr>
          <w:rFonts w:ascii="Times New Roman" w:hAnsi="Times New Roman" w:cs="Times New Roman"/>
        </w:rPr>
      </w:pPr>
    </w:p>
    <w:p w14:paraId="3D43DC23" w14:textId="77777777" w:rsidR="00335E61" w:rsidRDefault="00335E61" w:rsidP="00E57424">
      <w:pPr>
        <w:spacing w:line="360" w:lineRule="auto"/>
        <w:jc w:val="both"/>
        <w:rPr>
          <w:rFonts w:ascii="Times New Roman" w:hAnsi="Times New Roman" w:cs="Times New Roman"/>
        </w:rPr>
      </w:pPr>
    </w:p>
    <w:p w14:paraId="7737F5EB" w14:textId="77777777" w:rsidR="00335E61" w:rsidRDefault="00335E61" w:rsidP="00E57424">
      <w:pPr>
        <w:spacing w:line="360" w:lineRule="auto"/>
        <w:jc w:val="both"/>
        <w:rPr>
          <w:rFonts w:ascii="Times New Roman" w:hAnsi="Times New Roman" w:cs="Times New Roman"/>
        </w:rPr>
      </w:pPr>
    </w:p>
    <w:p w14:paraId="5AB524BC" w14:textId="77777777" w:rsidR="00335E61" w:rsidRDefault="00335E61" w:rsidP="00E57424">
      <w:pPr>
        <w:spacing w:line="360" w:lineRule="auto"/>
        <w:jc w:val="both"/>
        <w:rPr>
          <w:rFonts w:ascii="Times New Roman" w:hAnsi="Times New Roman" w:cs="Times New Roman"/>
        </w:rPr>
      </w:pPr>
    </w:p>
    <w:p w14:paraId="5ED8ABD3" w14:textId="77777777" w:rsidR="00335E61" w:rsidRDefault="00335E61" w:rsidP="00E57424">
      <w:pPr>
        <w:spacing w:line="360" w:lineRule="auto"/>
        <w:jc w:val="both"/>
        <w:rPr>
          <w:rFonts w:ascii="Times New Roman" w:hAnsi="Times New Roman" w:cs="Times New Roman"/>
        </w:rPr>
      </w:pPr>
    </w:p>
    <w:p w14:paraId="1C3D175B" w14:textId="77777777" w:rsidR="00335E61" w:rsidRDefault="00335E61" w:rsidP="00E57424">
      <w:pPr>
        <w:spacing w:line="360" w:lineRule="auto"/>
        <w:jc w:val="both"/>
        <w:rPr>
          <w:rFonts w:ascii="Times New Roman" w:hAnsi="Times New Roman" w:cs="Times New Roman"/>
        </w:rPr>
      </w:pPr>
    </w:p>
    <w:p w14:paraId="4CB61770" w14:textId="77777777" w:rsidR="00335E61" w:rsidRDefault="00335E61" w:rsidP="00E57424">
      <w:pPr>
        <w:spacing w:line="360" w:lineRule="auto"/>
        <w:jc w:val="both"/>
        <w:rPr>
          <w:rFonts w:ascii="Times New Roman" w:hAnsi="Times New Roman" w:cs="Times New Roman"/>
        </w:rPr>
      </w:pPr>
    </w:p>
    <w:p w14:paraId="6217960A" w14:textId="77777777" w:rsidR="000C2EE4" w:rsidRDefault="000C2EE4" w:rsidP="00E57424">
      <w:pPr>
        <w:spacing w:line="360" w:lineRule="auto"/>
        <w:jc w:val="both"/>
        <w:rPr>
          <w:rFonts w:ascii="Times New Roman" w:hAnsi="Times New Roman" w:cs="Times New Roman"/>
          <w:b/>
          <w:bCs/>
        </w:rPr>
      </w:pPr>
    </w:p>
    <w:p w14:paraId="6A99F9EF" w14:textId="77777777" w:rsidR="000C2EE4" w:rsidRDefault="000C2EE4" w:rsidP="00E57424">
      <w:pPr>
        <w:spacing w:line="360" w:lineRule="auto"/>
        <w:jc w:val="both"/>
        <w:rPr>
          <w:rFonts w:ascii="Times New Roman" w:hAnsi="Times New Roman" w:cs="Times New Roman"/>
          <w:b/>
          <w:bCs/>
        </w:rPr>
      </w:pPr>
    </w:p>
    <w:p w14:paraId="60641968" w14:textId="77777777" w:rsidR="000C2EE4" w:rsidRDefault="000C2EE4" w:rsidP="00E57424">
      <w:pPr>
        <w:spacing w:line="360" w:lineRule="auto"/>
        <w:jc w:val="both"/>
        <w:rPr>
          <w:rFonts w:ascii="Times New Roman" w:hAnsi="Times New Roman" w:cs="Times New Roman"/>
          <w:b/>
          <w:bCs/>
        </w:rPr>
      </w:pPr>
    </w:p>
    <w:p w14:paraId="68AF1D0D" w14:textId="77777777" w:rsidR="000C2EE4" w:rsidRDefault="000C2EE4" w:rsidP="00E57424">
      <w:pPr>
        <w:spacing w:line="360" w:lineRule="auto"/>
        <w:jc w:val="both"/>
        <w:rPr>
          <w:rFonts w:ascii="Times New Roman" w:hAnsi="Times New Roman" w:cs="Times New Roman"/>
          <w:b/>
          <w:bCs/>
        </w:rPr>
      </w:pPr>
    </w:p>
    <w:p w14:paraId="447104C5" w14:textId="77777777" w:rsidR="000C2EE4" w:rsidRDefault="000C2EE4" w:rsidP="00E57424">
      <w:pPr>
        <w:spacing w:line="360" w:lineRule="auto"/>
        <w:jc w:val="both"/>
        <w:rPr>
          <w:rFonts w:ascii="Times New Roman" w:hAnsi="Times New Roman" w:cs="Times New Roman"/>
          <w:b/>
          <w:bCs/>
        </w:rPr>
      </w:pPr>
    </w:p>
    <w:p w14:paraId="7AA6B009" w14:textId="77777777" w:rsidR="000C2EE4" w:rsidRDefault="000C2EE4" w:rsidP="00E57424">
      <w:pPr>
        <w:spacing w:line="360" w:lineRule="auto"/>
        <w:jc w:val="both"/>
        <w:rPr>
          <w:rFonts w:ascii="Times New Roman" w:hAnsi="Times New Roman" w:cs="Times New Roman"/>
          <w:b/>
          <w:bCs/>
        </w:rPr>
      </w:pPr>
    </w:p>
    <w:p w14:paraId="347FC474" w14:textId="518BC8E4" w:rsidR="00E57424" w:rsidRPr="001B1119" w:rsidRDefault="00E57424" w:rsidP="00E57424">
      <w:pPr>
        <w:spacing w:line="360" w:lineRule="auto"/>
        <w:jc w:val="both"/>
        <w:rPr>
          <w:rFonts w:ascii="Times New Roman" w:hAnsi="Times New Roman" w:cs="Times New Roman"/>
          <w:b/>
          <w:bCs/>
        </w:rPr>
      </w:pPr>
      <w:r w:rsidRPr="001B1119">
        <w:rPr>
          <w:rFonts w:ascii="Times New Roman" w:hAnsi="Times New Roman" w:cs="Times New Roman"/>
          <w:b/>
          <w:bCs/>
        </w:rPr>
        <w:lastRenderedPageBreak/>
        <w:t xml:space="preserve"> </w:t>
      </w:r>
      <w:r w:rsidR="00F57792">
        <w:rPr>
          <w:rFonts w:ascii="Times New Roman" w:hAnsi="Times New Roman" w:cs="Times New Roman"/>
          <w:b/>
          <w:bCs/>
        </w:rPr>
        <w:t>3</w:t>
      </w:r>
      <w:r w:rsidRPr="001B1119">
        <w:rPr>
          <w:rFonts w:ascii="Times New Roman" w:hAnsi="Times New Roman" w:cs="Times New Roman"/>
          <w:b/>
          <w:bCs/>
        </w:rPr>
        <w:t xml:space="preserve">. </w:t>
      </w:r>
      <w:r w:rsidRPr="00335E61">
        <w:rPr>
          <w:rFonts w:ascii="Times New Roman" w:hAnsi="Times New Roman" w:cs="Times New Roman"/>
          <w:b/>
          <w:bCs/>
          <w:u w:val="single"/>
        </w:rPr>
        <w:t>SATELLITE ZOOMING: HIGH-THROUGHPUT SPOT BEAM TECHNOLOGY</w:t>
      </w:r>
    </w:p>
    <w:p w14:paraId="3714E2F7" w14:textId="7961ECEC" w:rsidR="00E57424" w:rsidRPr="00BB7DD6" w:rsidRDefault="00E57424" w:rsidP="00E57424">
      <w:pPr>
        <w:spacing w:line="360" w:lineRule="auto"/>
        <w:jc w:val="both"/>
        <w:rPr>
          <w:rFonts w:ascii="Times New Roman" w:hAnsi="Times New Roman" w:cs="Times New Roman"/>
          <w:b/>
          <w:bCs/>
          <w:u w:val="single"/>
        </w:rPr>
      </w:pPr>
      <w:r w:rsidRPr="001B1119">
        <w:rPr>
          <w:rFonts w:ascii="Times New Roman" w:hAnsi="Times New Roman" w:cs="Times New Roman"/>
          <w:b/>
          <w:bCs/>
        </w:rPr>
        <w:t xml:space="preserve"> </w:t>
      </w:r>
      <w:r w:rsidRPr="00BB7DD6">
        <w:rPr>
          <w:rFonts w:ascii="Times New Roman" w:hAnsi="Times New Roman" w:cs="Times New Roman"/>
          <w:b/>
          <w:bCs/>
          <w:u w:val="single"/>
        </w:rPr>
        <w:t>Definition and Concept</w:t>
      </w:r>
    </w:p>
    <w:p w14:paraId="285C4F99" w14:textId="43BB45DF"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“Satellite Zooming” is an industry colloquialism for the ability of HTS systems to dynamically focus radio frequency energy into narrow, steerable spot beams, analogous to an optical zoom lens. More precisely, it refers to beamforming networks (BFNs) and phased-array antennas that can electronically shape and direct multiple spot beams to specific geographic areas, increasing the power flux density (PFD) and enabling frequency reuse across non-adjacent cells.</w:t>
      </w:r>
    </w:p>
    <w:p w14:paraId="78665926" w14:textId="77777777" w:rsidR="00E57424" w:rsidRPr="00E57424" w:rsidRDefault="00E57424" w:rsidP="00E57424">
      <w:pPr>
        <w:spacing w:line="360" w:lineRule="auto"/>
        <w:jc w:val="both"/>
        <w:rPr>
          <w:rFonts w:ascii="Times New Roman" w:hAnsi="Times New Roman" w:cs="Times New Roman"/>
        </w:rPr>
      </w:pPr>
    </w:p>
    <w:p w14:paraId="09770C55"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Conventional satellites use a single wide beam (e.g., 3° beamwidth from GEO covering a continent). An HTS with 500 spot beams each of 0.2° beamwidth can reuse the same frequency band 10–20 times, resulting in total throughput = (beam bandwidth × spectral efficiency) × reuse factor. For example, Viasat-3 uses 500 beams, each with 200 MHz of Ka-band, achieving 1 Tbps aggregate (Telesat, 2020).</w:t>
      </w:r>
    </w:p>
    <w:p w14:paraId="3720C05E" w14:textId="77777777" w:rsidR="00E57424" w:rsidRPr="00E57424" w:rsidRDefault="00E57424" w:rsidP="00E57424">
      <w:pPr>
        <w:spacing w:line="360" w:lineRule="auto"/>
        <w:jc w:val="both"/>
        <w:rPr>
          <w:rFonts w:ascii="Times New Roman" w:hAnsi="Times New Roman" w:cs="Times New Roman"/>
        </w:rPr>
      </w:pPr>
    </w:p>
    <w:p w14:paraId="7E80A56B" w14:textId="2F60B8F4" w:rsidR="00E57424" w:rsidRPr="00BB7DD6" w:rsidRDefault="00E57424" w:rsidP="00E57424">
      <w:pPr>
        <w:spacing w:line="360" w:lineRule="auto"/>
        <w:jc w:val="both"/>
        <w:rPr>
          <w:rFonts w:ascii="Times New Roman" w:hAnsi="Times New Roman" w:cs="Times New Roman"/>
          <w:b/>
          <w:bCs/>
        </w:rPr>
      </w:pPr>
      <w:r w:rsidRPr="00E57424">
        <w:rPr>
          <w:rFonts w:ascii="Times New Roman" w:hAnsi="Times New Roman" w:cs="Times New Roman"/>
        </w:rPr>
        <w:t xml:space="preserve"> </w:t>
      </w:r>
      <w:r w:rsidRPr="00BB7DD6">
        <w:rPr>
          <w:rFonts w:ascii="Times New Roman" w:hAnsi="Times New Roman" w:cs="Times New Roman"/>
          <w:b/>
          <w:bCs/>
        </w:rPr>
        <w:t xml:space="preserve">Frequency reuse pattern in multi-spot beam HTS  </w:t>
      </w:r>
    </w:p>
    <w:p w14:paraId="728CEA82" w14:textId="77777777" w:rsidR="00401D6E" w:rsidRDefault="00E57424" w:rsidP="00E57424">
      <w:pPr>
        <w:spacing w:line="360" w:lineRule="auto"/>
        <w:jc w:val="both"/>
        <w:rPr>
          <w:rFonts w:ascii="Times New Roman" w:hAnsi="Times New Roman" w:cs="Times New Roman"/>
        </w:rPr>
      </w:pPr>
      <w:r w:rsidRPr="00E57424">
        <w:rPr>
          <w:rFonts w:ascii="Times New Roman" w:hAnsi="Times New Roman" w:cs="Times New Roman"/>
        </w:rPr>
        <w:t>Diagram description: Hexagonal cellular pattern over a map of North America. Each cell labeled with a color (red, blue, green) indicating a frequency group. Red cells do not touch each other, allowing the same frequency to be reused at a distance. Show 4-color or 7-color reuse scheme.</w:t>
      </w:r>
    </w:p>
    <w:p w14:paraId="548999A0" w14:textId="77777777" w:rsidR="00401D6E" w:rsidRDefault="00401D6E" w:rsidP="00E57424">
      <w:pPr>
        <w:spacing w:line="360" w:lineRule="auto"/>
        <w:jc w:val="both"/>
        <w:rPr>
          <w:rFonts w:ascii="Times New Roman" w:hAnsi="Times New Roman" w:cs="Times New Roman"/>
        </w:rPr>
      </w:pPr>
    </w:p>
    <w:p w14:paraId="70B006D2" w14:textId="230D6933" w:rsidR="00E57424" w:rsidRPr="00401D6E" w:rsidRDefault="00E57424" w:rsidP="00E57424">
      <w:pPr>
        <w:spacing w:line="360" w:lineRule="auto"/>
        <w:jc w:val="both"/>
        <w:rPr>
          <w:rFonts w:ascii="Times New Roman" w:hAnsi="Times New Roman" w:cs="Times New Roman"/>
        </w:rPr>
      </w:pPr>
      <w:r w:rsidRPr="00335E61">
        <w:rPr>
          <w:rFonts w:ascii="Times New Roman" w:hAnsi="Times New Roman" w:cs="Times New Roman"/>
          <w:b/>
          <w:bCs/>
          <w:u w:val="single"/>
        </w:rPr>
        <w:t>Beamforming Techniques</w:t>
      </w:r>
    </w:p>
    <w:p w14:paraId="79AC24B2"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Two primary architectures exist:</w:t>
      </w:r>
    </w:p>
    <w:p w14:paraId="53581EF3" w14:textId="66AA2A0A" w:rsidR="00E57424" w:rsidRPr="00E57424" w:rsidRDefault="00E57424" w:rsidP="00E57424">
      <w:pPr>
        <w:spacing w:line="360" w:lineRule="auto"/>
        <w:jc w:val="both"/>
        <w:rPr>
          <w:rFonts w:ascii="Times New Roman" w:hAnsi="Times New Roman" w:cs="Times New Roman"/>
        </w:rPr>
      </w:pPr>
      <w:r w:rsidRPr="00335E61">
        <w:rPr>
          <w:rFonts w:ascii="Times New Roman" w:hAnsi="Times New Roman" w:cs="Times New Roman"/>
          <w:b/>
          <w:bCs/>
        </w:rPr>
        <w:t>1</w:t>
      </w:r>
      <w:r w:rsidRPr="00E57424">
        <w:rPr>
          <w:rFonts w:ascii="Times New Roman" w:hAnsi="Times New Roman" w:cs="Times New Roman"/>
        </w:rPr>
        <w:t xml:space="preserve">. </w:t>
      </w:r>
      <w:r w:rsidRPr="00335E61">
        <w:rPr>
          <w:rFonts w:ascii="Times New Roman" w:hAnsi="Times New Roman" w:cs="Times New Roman"/>
          <w:b/>
          <w:bCs/>
          <w:u w:val="single"/>
        </w:rPr>
        <w:t>Analog beamforming (passive or active phased arrays)</w:t>
      </w:r>
      <w:r w:rsidRPr="00E57424">
        <w:rPr>
          <w:rFonts w:ascii="Times New Roman" w:hAnsi="Times New Roman" w:cs="Times New Roman"/>
        </w:rPr>
        <w:t>: Uses phase shifters at each radiating element. Weighting coefficients are fixed or slowly updated. Lower complexity but limited flexibility.</w:t>
      </w:r>
    </w:p>
    <w:p w14:paraId="76A82924" w14:textId="77777777" w:rsidR="00E57424" w:rsidRPr="00E57424" w:rsidRDefault="00E57424" w:rsidP="00E57424">
      <w:pPr>
        <w:spacing w:line="360" w:lineRule="auto"/>
        <w:jc w:val="both"/>
        <w:rPr>
          <w:rFonts w:ascii="Times New Roman" w:hAnsi="Times New Roman" w:cs="Times New Roman"/>
        </w:rPr>
      </w:pPr>
    </w:p>
    <w:p w14:paraId="2C3F3441" w14:textId="2A0E2B46" w:rsidR="00E57424" w:rsidRPr="00E57424" w:rsidRDefault="00E57424" w:rsidP="00E57424">
      <w:pPr>
        <w:spacing w:line="360" w:lineRule="auto"/>
        <w:jc w:val="both"/>
        <w:rPr>
          <w:rFonts w:ascii="Times New Roman" w:hAnsi="Times New Roman" w:cs="Times New Roman"/>
        </w:rPr>
      </w:pPr>
      <w:r w:rsidRPr="00335E61">
        <w:rPr>
          <w:rFonts w:ascii="Times New Roman" w:hAnsi="Times New Roman" w:cs="Times New Roman"/>
          <w:b/>
          <w:bCs/>
        </w:rPr>
        <w:lastRenderedPageBreak/>
        <w:t>2</w:t>
      </w:r>
      <w:r w:rsidRPr="00E57424">
        <w:rPr>
          <w:rFonts w:ascii="Times New Roman" w:hAnsi="Times New Roman" w:cs="Times New Roman"/>
        </w:rPr>
        <w:t>.</w:t>
      </w:r>
      <w:r w:rsidR="00335E61">
        <w:rPr>
          <w:rFonts w:ascii="Times New Roman" w:hAnsi="Times New Roman" w:cs="Times New Roman"/>
        </w:rPr>
        <w:t xml:space="preserve"> </w:t>
      </w:r>
      <w:r w:rsidRPr="00335E61">
        <w:rPr>
          <w:rFonts w:ascii="Times New Roman" w:hAnsi="Times New Roman" w:cs="Times New Roman"/>
          <w:b/>
          <w:bCs/>
          <w:u w:val="single"/>
        </w:rPr>
        <w:t>Digital beamforming (regenerative payload):</w:t>
      </w:r>
      <w:r w:rsidRPr="00E57424">
        <w:rPr>
          <w:rFonts w:ascii="Times New Roman" w:hAnsi="Times New Roman" w:cs="Times New Roman"/>
        </w:rPr>
        <w:t xml:space="preserve"> Each element has its own ADC/DAC and digital processing. Enables adaptive nulling, interference cancellation, and dynamic beam hopping. Used in Starlink’s full-digital payload.</w:t>
      </w:r>
    </w:p>
    <w:p w14:paraId="7C3A4B6B"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Beam hopping is a key feature where a satellite illuminates a sequence of spot beams in a time-division pattern, allocating more time slots to high-demand cells (e.g., urban areas) than low-demand cells (oceans). This time-space flexibility drastically improves capacity utilization (Cocco et al., 2018).</w:t>
      </w:r>
    </w:p>
    <w:p w14:paraId="74A37A67" w14:textId="7C52F1E1" w:rsidR="00E57424" w:rsidRPr="00E57424" w:rsidRDefault="00E57424" w:rsidP="00E57424">
      <w:pPr>
        <w:spacing w:line="360" w:lineRule="auto"/>
        <w:jc w:val="both"/>
        <w:rPr>
          <w:rFonts w:ascii="Times New Roman" w:hAnsi="Times New Roman" w:cs="Times New Roman"/>
        </w:rPr>
      </w:pPr>
      <w:r w:rsidRPr="000C2EE4">
        <w:rPr>
          <w:rFonts w:ascii="Times New Roman" w:hAnsi="Times New Roman" w:cs="Times New Roman"/>
          <w:b/>
          <w:bCs/>
        </w:rPr>
        <w:t>Diagram description</w:t>
      </w:r>
      <w:r w:rsidRPr="00E57424">
        <w:rPr>
          <w:rFonts w:ascii="Times New Roman" w:hAnsi="Times New Roman" w:cs="Times New Roman"/>
        </w:rPr>
        <w:t>: Top – wide beam covering Europe with uniform color. Bottom – multiple small elliptical spot beams focused on London, Paris, Berlin, and Rome; beam intensities shown as heat maps. Arrows indicate beam steering.</w:t>
      </w:r>
    </w:p>
    <w:p w14:paraId="34827344" w14:textId="599233A0" w:rsidR="000C2EE4" w:rsidRDefault="00401D6E" w:rsidP="00E57424">
      <w:pPr>
        <w:spacing w:line="360" w:lineRule="auto"/>
        <w:jc w:val="both"/>
        <w:rPr>
          <w:rFonts w:ascii="Times New Roman" w:hAnsi="Times New Roman" w:cs="Times New Roman"/>
        </w:rPr>
      </w:pPr>
      <w:r w:rsidRPr="00401D6E">
        <w:rPr>
          <w:rFonts w:ascii="Times New Roman" w:hAnsi="Times New Roman" w:cs="Times New Roman"/>
        </w:rPr>
        <w:lastRenderedPageBreak/>
        <w:drawing>
          <wp:inline distT="0" distB="0" distL="0" distR="0" wp14:anchorId="58D377CF" wp14:editId="3C812EA7">
            <wp:extent cx="5943600" cy="6503670"/>
            <wp:effectExtent l="0" t="0" r="0" b="0"/>
            <wp:docPr id="54186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66958" name=""/>
                    <pic:cNvPicPr/>
                  </pic:nvPicPr>
                  <pic:blipFill>
                    <a:blip r:embed="rId8"/>
                    <a:stretch>
                      <a:fillRect/>
                    </a:stretch>
                  </pic:blipFill>
                  <pic:spPr>
                    <a:xfrm>
                      <a:off x="0" y="0"/>
                      <a:ext cx="5943600" cy="6503670"/>
                    </a:xfrm>
                    <a:prstGeom prst="rect">
                      <a:avLst/>
                    </a:prstGeom>
                  </pic:spPr>
                </pic:pic>
              </a:graphicData>
            </a:graphic>
          </wp:inline>
        </w:drawing>
      </w:r>
    </w:p>
    <w:p w14:paraId="3269C906" w14:textId="77777777" w:rsidR="000C2EE4" w:rsidRDefault="000C2EE4" w:rsidP="00E57424">
      <w:pPr>
        <w:spacing w:line="360" w:lineRule="auto"/>
        <w:jc w:val="both"/>
        <w:rPr>
          <w:rFonts w:ascii="Times New Roman" w:hAnsi="Times New Roman" w:cs="Times New Roman"/>
        </w:rPr>
      </w:pPr>
    </w:p>
    <w:p w14:paraId="1FD1F90D" w14:textId="77777777" w:rsidR="000C2EE4" w:rsidRDefault="000C2EE4" w:rsidP="00E57424">
      <w:pPr>
        <w:spacing w:line="360" w:lineRule="auto"/>
        <w:jc w:val="both"/>
        <w:rPr>
          <w:rFonts w:ascii="Times New Roman" w:hAnsi="Times New Roman" w:cs="Times New Roman"/>
        </w:rPr>
      </w:pPr>
    </w:p>
    <w:p w14:paraId="6493DB7F" w14:textId="77777777" w:rsidR="000C2EE4" w:rsidRDefault="000C2EE4" w:rsidP="00E57424">
      <w:pPr>
        <w:spacing w:line="360" w:lineRule="auto"/>
        <w:jc w:val="both"/>
        <w:rPr>
          <w:rFonts w:ascii="Times New Roman" w:hAnsi="Times New Roman" w:cs="Times New Roman"/>
        </w:rPr>
      </w:pPr>
    </w:p>
    <w:p w14:paraId="0CE271E5" w14:textId="77777777" w:rsidR="00401D6E" w:rsidRDefault="00401D6E" w:rsidP="00E57424">
      <w:pPr>
        <w:spacing w:line="360" w:lineRule="auto"/>
        <w:jc w:val="both"/>
        <w:rPr>
          <w:rFonts w:ascii="Times New Roman" w:hAnsi="Times New Roman" w:cs="Times New Roman"/>
          <w:b/>
          <w:bCs/>
        </w:rPr>
      </w:pPr>
    </w:p>
    <w:p w14:paraId="796DF659" w14:textId="3DD76FA2" w:rsidR="00E57424" w:rsidRPr="004735A3" w:rsidRDefault="00E57424" w:rsidP="00E57424">
      <w:pPr>
        <w:spacing w:line="360" w:lineRule="auto"/>
        <w:jc w:val="both"/>
        <w:rPr>
          <w:rFonts w:ascii="Times New Roman" w:hAnsi="Times New Roman" w:cs="Times New Roman"/>
          <w:b/>
          <w:bCs/>
        </w:rPr>
      </w:pPr>
      <w:r w:rsidRPr="004735A3">
        <w:rPr>
          <w:rFonts w:ascii="Times New Roman" w:hAnsi="Times New Roman" w:cs="Times New Roman"/>
          <w:b/>
          <w:bCs/>
        </w:rPr>
        <w:lastRenderedPageBreak/>
        <w:t>Link Budget for Spot Beam HTS</w:t>
      </w:r>
    </w:p>
    <w:p w14:paraId="0A90B74F" w14:textId="77777777" w:rsidR="00E57424" w:rsidRPr="00E57424" w:rsidRDefault="00E57424" w:rsidP="00E57424">
      <w:pPr>
        <w:spacing w:line="360" w:lineRule="auto"/>
        <w:jc w:val="both"/>
        <w:rPr>
          <w:rFonts w:ascii="Times New Roman" w:hAnsi="Times New Roman" w:cs="Times New Roman"/>
        </w:rPr>
      </w:pPr>
    </w:p>
    <w:p w14:paraId="6CD518A7"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The key advantage of spot beams is increased EIRP (Effective Isotropic Radiated Power) due to higher antenna gain. For a circular aperture antenna, gain G = (πD/λ)² × η, where D = diameter, λ = wavelength, η = efficiency (~0.55). Spot beams use larger D relative to the beam area.</w:t>
      </w:r>
    </w:p>
    <w:p w14:paraId="461FBF65" w14:textId="77777777" w:rsidR="00E57424" w:rsidRPr="00E57424" w:rsidRDefault="00E57424" w:rsidP="00E57424">
      <w:pPr>
        <w:spacing w:line="360" w:lineRule="auto"/>
        <w:jc w:val="both"/>
        <w:rPr>
          <w:rFonts w:ascii="Times New Roman" w:hAnsi="Times New Roman" w:cs="Times New Roman"/>
        </w:rPr>
      </w:pPr>
    </w:p>
    <w:p w14:paraId="4AFE61EE" w14:textId="6B81704F" w:rsidR="00E57424" w:rsidRPr="00E57424" w:rsidRDefault="00E57424" w:rsidP="00E57424">
      <w:pPr>
        <w:spacing w:line="360" w:lineRule="auto"/>
        <w:jc w:val="both"/>
        <w:rPr>
          <w:rFonts w:ascii="Times New Roman" w:hAnsi="Times New Roman" w:cs="Times New Roman"/>
        </w:rPr>
      </w:pPr>
      <w:r w:rsidRPr="00BB7DD6">
        <w:rPr>
          <w:rFonts w:ascii="Times New Roman" w:hAnsi="Times New Roman" w:cs="Times New Roman"/>
          <w:b/>
          <w:bCs/>
        </w:rPr>
        <w:t>Example calculation</w:t>
      </w:r>
      <w:r w:rsidRPr="00E57424">
        <w:rPr>
          <w:rFonts w:ascii="Times New Roman" w:hAnsi="Times New Roman" w:cs="Times New Roman"/>
        </w:rPr>
        <w:t xml:space="preserve">:  </w:t>
      </w:r>
    </w:p>
    <w:p w14:paraId="1BFFB1F1"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xml:space="preserve">- GEO satellite at 36,000 km, spot beam diameter 200 km (0.3° beamwidth). Required antenna diameter ~2.5 m at Ka-band (20 GHz). Gain ≈ 52 dBi.  </w:t>
      </w:r>
    </w:p>
    <w:p w14:paraId="3B5A3328"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Compared to wide beam covering 2,000 km (3° beamwidth), gain difference = 10 log₁₀((3/0.3)²) = 20 dB. That means the spot beam concentrates 100 times more power into the same user terminal.</w:t>
      </w:r>
    </w:p>
    <w:p w14:paraId="0E695FC0" w14:textId="77777777" w:rsidR="00E57424" w:rsidRPr="00E57424" w:rsidRDefault="00E57424" w:rsidP="00E57424">
      <w:pPr>
        <w:spacing w:line="360" w:lineRule="auto"/>
        <w:jc w:val="both"/>
        <w:rPr>
          <w:rFonts w:ascii="Times New Roman" w:hAnsi="Times New Roman" w:cs="Times New Roman"/>
        </w:rPr>
      </w:pPr>
    </w:p>
    <w:p w14:paraId="7B8AF089" w14:textId="3A83F57C" w:rsidR="00E57424" w:rsidRPr="004735A3" w:rsidRDefault="00E57424" w:rsidP="00E57424">
      <w:pPr>
        <w:spacing w:line="360" w:lineRule="auto"/>
        <w:jc w:val="both"/>
        <w:rPr>
          <w:rFonts w:ascii="Times New Roman" w:hAnsi="Times New Roman" w:cs="Times New Roman"/>
          <w:b/>
          <w:bCs/>
        </w:rPr>
      </w:pPr>
      <w:r w:rsidRPr="004735A3">
        <w:rPr>
          <w:rFonts w:ascii="Times New Roman" w:hAnsi="Times New Roman" w:cs="Times New Roman"/>
          <w:b/>
          <w:bCs/>
        </w:rPr>
        <w:t xml:space="preserve">  Key HTS Systems and Performance</w:t>
      </w:r>
    </w:p>
    <w:p w14:paraId="1C3AA2EB" w14:textId="77777777" w:rsidR="00E57424" w:rsidRPr="00E57424" w:rsidRDefault="00E57424" w:rsidP="00E57424">
      <w:pPr>
        <w:spacing w:line="360" w:lineRule="auto"/>
        <w:jc w:val="both"/>
        <w:rPr>
          <w:rFonts w:ascii="Times New Roman" w:hAnsi="Times New Roman" w:cs="Times New Roman"/>
        </w:rPr>
      </w:pPr>
    </w:p>
    <w:p w14:paraId="1088E19F"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System | Orbit | Frequency | Spot beams | Total capacity | Year launched |</w:t>
      </w:r>
    </w:p>
    <w:p w14:paraId="6E4458D7"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w:t>
      </w:r>
    </w:p>
    <w:p w14:paraId="4F112644"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Viasat-3 (Americas) | GEO | Ka | ~500 | 1,000 Gbps | 2023 |</w:t>
      </w:r>
    </w:p>
    <w:p w14:paraId="5FF5E9C6"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Starlink (Gen2) | LEO (550 km) | Ku/Ka/E | Thousands | &gt;200 Tbps (constellation) | 2023+ |</w:t>
      </w:r>
    </w:p>
    <w:p w14:paraId="7816406B"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OneWeb Gen2 | LEO (1,200 km) | Ku/Ka | ~640 per satellite | 120 Tbps (planned) | 2025 (est.) |</w:t>
      </w:r>
    </w:p>
    <w:p w14:paraId="08B253DE"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SES O3b mPOWER | MEO (8,000 km) | Ka | 5,000 beams across 11 satellites | 50 Gbps/satellite | 2022 |</w:t>
      </w:r>
    </w:p>
    <w:p w14:paraId="3C481D07" w14:textId="77777777" w:rsidR="00E57424" w:rsidRPr="00E57424" w:rsidRDefault="00E57424" w:rsidP="00E57424">
      <w:pPr>
        <w:spacing w:line="360" w:lineRule="auto"/>
        <w:jc w:val="both"/>
        <w:rPr>
          <w:rFonts w:ascii="Times New Roman" w:hAnsi="Times New Roman" w:cs="Times New Roman"/>
        </w:rPr>
      </w:pPr>
    </w:p>
    <w:p w14:paraId="329C0810" w14:textId="77777777" w:rsidR="00E57424" w:rsidRPr="00E57424" w:rsidRDefault="00E57424" w:rsidP="00E57424">
      <w:pPr>
        <w:spacing w:line="360" w:lineRule="auto"/>
        <w:jc w:val="both"/>
        <w:rPr>
          <w:rFonts w:ascii="Times New Roman" w:hAnsi="Times New Roman" w:cs="Times New Roman"/>
        </w:rPr>
      </w:pPr>
    </w:p>
    <w:p w14:paraId="7F8CF43F" w14:textId="261FC341" w:rsidR="00E57424" w:rsidRPr="00E57424" w:rsidRDefault="00E57424" w:rsidP="00E57424">
      <w:pPr>
        <w:spacing w:line="360" w:lineRule="auto"/>
        <w:jc w:val="both"/>
        <w:rPr>
          <w:rFonts w:ascii="Times New Roman" w:hAnsi="Times New Roman" w:cs="Times New Roman"/>
        </w:rPr>
      </w:pPr>
    </w:p>
    <w:p w14:paraId="07BEB143" w14:textId="24CED953" w:rsidR="00E57424" w:rsidRPr="004735A3" w:rsidRDefault="00E57424" w:rsidP="00E57424">
      <w:pPr>
        <w:spacing w:line="360" w:lineRule="auto"/>
        <w:jc w:val="both"/>
        <w:rPr>
          <w:rFonts w:ascii="Times New Roman" w:hAnsi="Times New Roman" w:cs="Times New Roman"/>
          <w:b/>
          <w:bCs/>
        </w:rPr>
      </w:pPr>
      <w:r w:rsidRPr="00E57424">
        <w:rPr>
          <w:rFonts w:ascii="Times New Roman" w:hAnsi="Times New Roman" w:cs="Times New Roman"/>
        </w:rPr>
        <w:lastRenderedPageBreak/>
        <w:t xml:space="preserve"> </w:t>
      </w:r>
      <w:r w:rsidR="00B52767">
        <w:rPr>
          <w:rFonts w:ascii="Times New Roman" w:hAnsi="Times New Roman" w:cs="Times New Roman"/>
          <w:b/>
          <w:bCs/>
        </w:rPr>
        <w:t>4</w:t>
      </w:r>
      <w:r w:rsidRPr="004735A3">
        <w:rPr>
          <w:rFonts w:ascii="Times New Roman" w:hAnsi="Times New Roman" w:cs="Times New Roman"/>
          <w:b/>
          <w:bCs/>
        </w:rPr>
        <w:t xml:space="preserve">. </w:t>
      </w:r>
      <w:r w:rsidRPr="004735A3">
        <w:rPr>
          <w:rFonts w:ascii="Times New Roman" w:hAnsi="Times New Roman" w:cs="Times New Roman"/>
          <w:b/>
          <w:bCs/>
          <w:u w:val="single"/>
        </w:rPr>
        <w:t xml:space="preserve">COMPARATIVE ANALYSIS: SATELLITE VS. TERRESTRIAL </w:t>
      </w:r>
    </w:p>
    <w:p w14:paraId="406C93E1" w14:textId="1AB1325E"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Satellite vs. terrestrial fiber – cost per bit comparison</w:t>
      </w:r>
    </w:p>
    <w:p w14:paraId="207202FF" w14:textId="77777777" w:rsidR="00E57424" w:rsidRPr="00E57424" w:rsidRDefault="00E57424" w:rsidP="00E57424">
      <w:pPr>
        <w:spacing w:line="360" w:lineRule="auto"/>
        <w:jc w:val="both"/>
        <w:rPr>
          <w:rFonts w:ascii="Times New Roman" w:hAnsi="Times New Roman" w:cs="Times New Roman"/>
        </w:rPr>
      </w:pPr>
    </w:p>
    <w:p w14:paraId="50E9A576"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Metric | Terrestrial Fiber | GEO HTS | LEO Constellation |</w:t>
      </w:r>
    </w:p>
    <w:p w14:paraId="2E7D7BE1"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w:t>
      </w:r>
    </w:p>
    <w:p w14:paraId="1F0642AD"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Deployment cost (per km or per satellite) | $10,000 – $50,000/km (rural) | $300M – $500M per HTS | $250,000 per Starlink satellite |</w:t>
      </w:r>
    </w:p>
    <w:p w14:paraId="4E38BBD1"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Coverage | ~40% land area, no sea/poles | Global (except polar caps) | Global |</w:t>
      </w:r>
    </w:p>
    <w:p w14:paraId="718A1A03"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Latency (best case) | &lt;5 ms (local), ~70 ms (transcontinental) | ~600 ms (round-trip) | 20 – 40 ms |</w:t>
      </w:r>
    </w:p>
    <w:p w14:paraId="5A14E42B"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Capacity density (bps/km²) | Very high (100s Gbps/km² in cities) | Low to moderate (Mbps/km²) | Moderate |</w:t>
      </w:r>
    </w:p>
    <w:p w14:paraId="6E8221DB"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Susceptibility to physical damage | High (backhoes, earthquakes) | Low (space-based) | Low |</w:t>
      </w:r>
    </w:p>
    <w:p w14:paraId="1159BF67"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Environmental impact | Digging, land use, materials | Launch emissions, orbital debris | Launch + debris |</w:t>
      </w:r>
    </w:p>
    <w:p w14:paraId="3B109B2D" w14:textId="77777777" w:rsidR="00E57424" w:rsidRPr="00E57424" w:rsidRDefault="00E57424" w:rsidP="00E57424">
      <w:pPr>
        <w:spacing w:line="360" w:lineRule="auto"/>
        <w:jc w:val="both"/>
        <w:rPr>
          <w:rFonts w:ascii="Times New Roman" w:hAnsi="Times New Roman" w:cs="Times New Roman"/>
        </w:rPr>
      </w:pPr>
    </w:p>
    <w:p w14:paraId="071DCF23" w14:textId="1051FA34"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Satellite communication excels in ubiquity and disaster recovery</w:t>
      </w:r>
      <w:r w:rsidR="004735A3">
        <w:rPr>
          <w:rFonts w:ascii="Times New Roman" w:hAnsi="Times New Roman" w:cs="Times New Roman"/>
        </w:rPr>
        <w:t xml:space="preserve"> </w:t>
      </w:r>
      <w:r w:rsidRPr="00E57424">
        <w:rPr>
          <w:rFonts w:ascii="Times New Roman" w:hAnsi="Times New Roman" w:cs="Times New Roman"/>
        </w:rPr>
        <w:t>, while terrestrial fiber dominates density and latency for fixed locations. Hybrid networks (fiber backhaul + satellite last-mile) are economically optimal for rural and maritime markets (Giambene et al., 2021).</w:t>
      </w:r>
    </w:p>
    <w:p w14:paraId="1DA037A0" w14:textId="77777777" w:rsidR="00E57424" w:rsidRPr="00E57424" w:rsidRDefault="00E57424" w:rsidP="00E57424">
      <w:pPr>
        <w:spacing w:line="360" w:lineRule="auto"/>
        <w:jc w:val="both"/>
        <w:rPr>
          <w:rFonts w:ascii="Times New Roman" w:hAnsi="Times New Roman" w:cs="Times New Roman"/>
        </w:rPr>
      </w:pPr>
    </w:p>
    <w:p w14:paraId="2682BAA9" w14:textId="01B2A604" w:rsidR="00E57424" w:rsidRPr="004735A3" w:rsidRDefault="00E57424" w:rsidP="00E57424">
      <w:pPr>
        <w:spacing w:line="360" w:lineRule="auto"/>
        <w:jc w:val="both"/>
        <w:rPr>
          <w:rFonts w:ascii="Times New Roman" w:hAnsi="Times New Roman" w:cs="Times New Roman"/>
          <w:b/>
          <w:bCs/>
          <w:u w:val="single"/>
        </w:rPr>
      </w:pPr>
      <w:r w:rsidRPr="004735A3">
        <w:rPr>
          <w:rFonts w:ascii="Times New Roman" w:hAnsi="Times New Roman" w:cs="Times New Roman"/>
          <w:b/>
          <w:bCs/>
          <w:u w:val="single"/>
        </w:rPr>
        <w:t xml:space="preserve"> Satellite vs. terrestrial latency comparison  </w:t>
      </w:r>
    </w:p>
    <w:p w14:paraId="56789E22" w14:textId="38426E65" w:rsidR="00B52767" w:rsidRPr="00B52767" w:rsidRDefault="00E57424" w:rsidP="00E57424">
      <w:pPr>
        <w:spacing w:line="360" w:lineRule="auto"/>
        <w:jc w:val="both"/>
        <w:rPr>
          <w:rFonts w:ascii="Times New Roman" w:hAnsi="Times New Roman" w:cs="Times New Roman"/>
        </w:rPr>
      </w:pPr>
      <w:r w:rsidRPr="004735A3">
        <w:rPr>
          <w:rFonts w:ascii="Times New Roman" w:hAnsi="Times New Roman" w:cs="Times New Roman"/>
        </w:rPr>
        <w:t>Diagram</w:t>
      </w:r>
      <w:r w:rsidR="004735A3">
        <w:rPr>
          <w:rFonts w:ascii="Times New Roman" w:hAnsi="Times New Roman" w:cs="Times New Roman"/>
          <w:u w:val="single"/>
        </w:rPr>
        <w:t xml:space="preserve"> </w:t>
      </w:r>
      <w:r w:rsidRPr="004735A3">
        <w:rPr>
          <w:rFonts w:ascii="Times New Roman" w:hAnsi="Times New Roman" w:cs="Times New Roman"/>
        </w:rPr>
        <w:t>description</w:t>
      </w:r>
      <w:r w:rsidRPr="00E57424">
        <w:rPr>
          <w:rFonts w:ascii="Times New Roman" w:hAnsi="Times New Roman" w:cs="Times New Roman"/>
        </w:rPr>
        <w:t>: Bar chart with 5 distances: 100 km, 500 km, 1,000 km, 5,000 km, 20,000 km. For each, show fiber latency (refractive index ~1.48) and GEO satellite latency (two-way via 36,000 km). Cross-over point where satellite is lower latency occurs at distances &gt;~12,000 km due to fiber’s speed-of-light limitation. LEO constellations beat fiber at &gt;3,000 km.*</w:t>
      </w:r>
    </w:p>
    <w:p w14:paraId="6EAD796F" w14:textId="7A2AC947" w:rsidR="00E57424" w:rsidRPr="00E74B88" w:rsidRDefault="00E57424" w:rsidP="00E57424">
      <w:pPr>
        <w:spacing w:line="360" w:lineRule="auto"/>
        <w:jc w:val="both"/>
        <w:rPr>
          <w:rFonts w:ascii="Times New Roman" w:hAnsi="Times New Roman" w:cs="Times New Roman"/>
          <w:b/>
          <w:bCs/>
          <w:u w:val="single"/>
        </w:rPr>
      </w:pPr>
      <w:r w:rsidRPr="00E74B88">
        <w:rPr>
          <w:rFonts w:ascii="Times New Roman" w:hAnsi="Times New Roman" w:cs="Times New Roman"/>
          <w:b/>
          <w:bCs/>
        </w:rPr>
        <w:lastRenderedPageBreak/>
        <w:t xml:space="preserve"> </w:t>
      </w:r>
      <w:r w:rsidR="00B52767">
        <w:rPr>
          <w:rFonts w:ascii="Times New Roman" w:hAnsi="Times New Roman" w:cs="Times New Roman"/>
          <w:b/>
          <w:bCs/>
          <w:u w:val="single"/>
        </w:rPr>
        <w:t>5</w:t>
      </w:r>
      <w:r w:rsidRPr="00E74B88">
        <w:rPr>
          <w:rFonts w:ascii="Times New Roman" w:hAnsi="Times New Roman" w:cs="Times New Roman"/>
          <w:b/>
          <w:bCs/>
          <w:u w:val="single"/>
        </w:rPr>
        <w:t>. CHALLENGES IN SATELLITE DATA COMMUNICATION</w:t>
      </w:r>
    </w:p>
    <w:p w14:paraId="1018997A" w14:textId="77777777" w:rsidR="00E57424" w:rsidRPr="00E57424" w:rsidRDefault="00E57424" w:rsidP="00E57424">
      <w:pPr>
        <w:spacing w:line="360" w:lineRule="auto"/>
        <w:jc w:val="both"/>
        <w:rPr>
          <w:rFonts w:ascii="Times New Roman" w:hAnsi="Times New Roman" w:cs="Times New Roman"/>
        </w:rPr>
      </w:pPr>
    </w:p>
    <w:p w14:paraId="1AC4A46E" w14:textId="3823F5B9" w:rsidR="00E57424" w:rsidRPr="00E74B88" w:rsidRDefault="00E57424" w:rsidP="00E57424">
      <w:pPr>
        <w:spacing w:line="360" w:lineRule="auto"/>
        <w:jc w:val="both"/>
        <w:rPr>
          <w:rFonts w:ascii="Times New Roman" w:hAnsi="Times New Roman" w:cs="Times New Roman"/>
          <w:b/>
          <w:bCs/>
          <w:u w:val="single"/>
        </w:rPr>
      </w:pPr>
      <w:r w:rsidRPr="00E74B88">
        <w:rPr>
          <w:rFonts w:ascii="Times New Roman" w:hAnsi="Times New Roman" w:cs="Times New Roman"/>
          <w:b/>
          <w:bCs/>
        </w:rPr>
        <w:t xml:space="preserve">  </w:t>
      </w:r>
      <w:r w:rsidRPr="00E74B88">
        <w:rPr>
          <w:rFonts w:ascii="Times New Roman" w:hAnsi="Times New Roman" w:cs="Times New Roman"/>
          <w:b/>
          <w:bCs/>
          <w:u w:val="single"/>
        </w:rPr>
        <w:t>Atmospheric Attenuation</w:t>
      </w:r>
    </w:p>
    <w:p w14:paraId="04E4D1E7" w14:textId="77777777" w:rsidR="00E57424" w:rsidRPr="00E57424" w:rsidRDefault="00E57424" w:rsidP="00E57424">
      <w:pPr>
        <w:spacing w:line="360" w:lineRule="auto"/>
        <w:jc w:val="both"/>
        <w:rPr>
          <w:rFonts w:ascii="Times New Roman" w:hAnsi="Times New Roman" w:cs="Times New Roman"/>
        </w:rPr>
      </w:pPr>
    </w:p>
    <w:p w14:paraId="59553866"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Rain fade at Ka-band and above can exceed 20 dB during heavy precipitation. Mitigations include:</w:t>
      </w:r>
    </w:p>
    <w:p w14:paraId="356184B6" w14:textId="41F323AC" w:rsidR="00E57424" w:rsidRPr="00E74B88" w:rsidRDefault="00E57424" w:rsidP="00E74B88">
      <w:pPr>
        <w:pStyle w:val="ListParagraph"/>
        <w:numPr>
          <w:ilvl w:val="0"/>
          <w:numId w:val="4"/>
        </w:numPr>
        <w:spacing w:line="360" w:lineRule="auto"/>
        <w:jc w:val="both"/>
        <w:rPr>
          <w:rFonts w:ascii="Times New Roman" w:hAnsi="Times New Roman" w:cs="Times New Roman"/>
        </w:rPr>
      </w:pPr>
      <w:r w:rsidRPr="00E74B88">
        <w:rPr>
          <w:rFonts w:ascii="Times New Roman" w:hAnsi="Times New Roman" w:cs="Times New Roman"/>
        </w:rPr>
        <w:t>Site diversity (two ground stations separated by 10-20 km)</w:t>
      </w:r>
    </w:p>
    <w:p w14:paraId="792D03EB" w14:textId="1703FAD5" w:rsidR="00E57424" w:rsidRPr="00E74B88" w:rsidRDefault="00E57424" w:rsidP="00E74B88">
      <w:pPr>
        <w:pStyle w:val="ListParagraph"/>
        <w:numPr>
          <w:ilvl w:val="0"/>
          <w:numId w:val="4"/>
        </w:numPr>
        <w:spacing w:line="360" w:lineRule="auto"/>
        <w:jc w:val="both"/>
        <w:rPr>
          <w:rFonts w:ascii="Times New Roman" w:hAnsi="Times New Roman" w:cs="Times New Roman"/>
        </w:rPr>
      </w:pPr>
      <w:r w:rsidRPr="00E74B88">
        <w:rPr>
          <w:rFonts w:ascii="Times New Roman" w:hAnsi="Times New Roman" w:cs="Times New Roman"/>
        </w:rPr>
        <w:t>Uplink power control (increases power during rain)</w:t>
      </w:r>
    </w:p>
    <w:p w14:paraId="4EFC4B5A" w14:textId="2104192E" w:rsidR="00E57424" w:rsidRPr="00E74B88" w:rsidRDefault="00E57424" w:rsidP="00E74B88">
      <w:pPr>
        <w:pStyle w:val="ListParagraph"/>
        <w:numPr>
          <w:ilvl w:val="0"/>
          <w:numId w:val="4"/>
        </w:numPr>
        <w:spacing w:line="360" w:lineRule="auto"/>
        <w:jc w:val="both"/>
        <w:rPr>
          <w:rFonts w:ascii="Times New Roman" w:hAnsi="Times New Roman" w:cs="Times New Roman"/>
        </w:rPr>
      </w:pPr>
      <w:r w:rsidRPr="00E74B88">
        <w:rPr>
          <w:rFonts w:ascii="Times New Roman" w:hAnsi="Times New Roman" w:cs="Times New Roman"/>
        </w:rPr>
        <w:t>Adaptive coding and modulation (fallback to QPSK 1/2 rate)</w:t>
      </w:r>
    </w:p>
    <w:p w14:paraId="3FE394A3" w14:textId="78C71E8C" w:rsidR="00E57424" w:rsidRPr="00E74B88" w:rsidRDefault="00E57424" w:rsidP="00E74B88">
      <w:pPr>
        <w:pStyle w:val="ListParagraph"/>
        <w:numPr>
          <w:ilvl w:val="0"/>
          <w:numId w:val="4"/>
        </w:numPr>
        <w:spacing w:line="360" w:lineRule="auto"/>
        <w:jc w:val="both"/>
        <w:rPr>
          <w:rFonts w:ascii="Times New Roman" w:hAnsi="Times New Roman" w:cs="Times New Roman"/>
        </w:rPr>
      </w:pPr>
      <w:r w:rsidRPr="00E74B88">
        <w:rPr>
          <w:rFonts w:ascii="Times New Roman" w:hAnsi="Times New Roman" w:cs="Times New Roman"/>
        </w:rPr>
        <w:t>Frequency diversity (switch to C-band)</w:t>
      </w:r>
    </w:p>
    <w:p w14:paraId="18C9FBFF" w14:textId="77777777" w:rsidR="00E57424" w:rsidRPr="00E57424" w:rsidRDefault="00E57424" w:rsidP="00E57424">
      <w:pPr>
        <w:spacing w:line="360" w:lineRule="auto"/>
        <w:jc w:val="both"/>
        <w:rPr>
          <w:rFonts w:ascii="Times New Roman" w:hAnsi="Times New Roman" w:cs="Times New Roman"/>
        </w:rPr>
      </w:pPr>
    </w:p>
    <w:p w14:paraId="17D523C1" w14:textId="0A045BCD"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Table 5: Atmospheric attenuation at 20 GHz (Ka-band) for different rain rates (ITU-R P.618)</w:t>
      </w:r>
    </w:p>
    <w:p w14:paraId="66C96CD7" w14:textId="77777777" w:rsidR="00E57424" w:rsidRPr="00E57424" w:rsidRDefault="00E57424" w:rsidP="00E57424">
      <w:pPr>
        <w:spacing w:line="360" w:lineRule="auto"/>
        <w:jc w:val="both"/>
        <w:rPr>
          <w:rFonts w:ascii="Times New Roman" w:hAnsi="Times New Roman" w:cs="Times New Roman"/>
        </w:rPr>
      </w:pPr>
    </w:p>
    <w:p w14:paraId="58616A1E"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Rain rate (mm/h) | Attenuation (dB/km) | Cumulative exceedance (%) |</w:t>
      </w:r>
    </w:p>
    <w:p w14:paraId="2C30DDF6"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w:t>
      </w:r>
    </w:p>
    <w:p w14:paraId="69BFF0C5"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0 (clear) | 0.1 (gases) | 99% |</w:t>
      </w:r>
    </w:p>
    <w:p w14:paraId="03849D92"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5 (drizzle) | 1.2 | 95% |</w:t>
      </w:r>
    </w:p>
    <w:p w14:paraId="119DA203"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25 (moderate) | 5.8 | 99.99% (varies by region) |</w:t>
      </w:r>
    </w:p>
    <w:p w14:paraId="675D1ADD" w14:textId="77777777" w:rsidR="00E57424" w:rsidRPr="00E57424" w:rsidRDefault="00E57424" w:rsidP="00E57424">
      <w:pPr>
        <w:spacing w:line="360" w:lineRule="auto"/>
        <w:jc w:val="both"/>
        <w:rPr>
          <w:rFonts w:ascii="Times New Roman" w:hAnsi="Times New Roman" w:cs="Times New Roman"/>
        </w:rPr>
      </w:pPr>
    </w:p>
    <w:p w14:paraId="79DC7EF3" w14:textId="3588DC6C" w:rsidR="00E57424" w:rsidRPr="00E74B88" w:rsidRDefault="00E57424" w:rsidP="00E57424">
      <w:pPr>
        <w:spacing w:line="360" w:lineRule="auto"/>
        <w:jc w:val="both"/>
        <w:rPr>
          <w:rFonts w:ascii="Times New Roman" w:hAnsi="Times New Roman" w:cs="Times New Roman"/>
          <w:b/>
          <w:bCs/>
          <w:u w:val="single"/>
        </w:rPr>
      </w:pPr>
      <w:r w:rsidRPr="00E74B88">
        <w:rPr>
          <w:rFonts w:ascii="Times New Roman" w:hAnsi="Times New Roman" w:cs="Times New Roman"/>
          <w:b/>
          <w:bCs/>
          <w:u w:val="single"/>
        </w:rPr>
        <w:t xml:space="preserve"> Orbital Debris</w:t>
      </w:r>
    </w:p>
    <w:p w14:paraId="1AFF3B59" w14:textId="77777777" w:rsidR="00E57424" w:rsidRPr="00E57424" w:rsidRDefault="00E57424" w:rsidP="00E57424">
      <w:pPr>
        <w:spacing w:line="360" w:lineRule="auto"/>
        <w:jc w:val="both"/>
        <w:rPr>
          <w:rFonts w:ascii="Times New Roman" w:hAnsi="Times New Roman" w:cs="Times New Roman"/>
        </w:rPr>
      </w:pPr>
    </w:p>
    <w:p w14:paraId="4C947D9A"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xml:space="preserve">As of January 2025, the European Space Agency (ESA) tracks 40,500 objects &gt;10 cm, 1.1 million objects 1-10 cm, and 130 million objects &lt;1 cm in LEO. Collisions generate further debris (Kessler Syndrome). Mitigation: 25-year deorbit rule, passivation (venting residual propellant), active </w:t>
      </w:r>
      <w:r w:rsidRPr="00E57424">
        <w:rPr>
          <w:rFonts w:ascii="Times New Roman" w:hAnsi="Times New Roman" w:cs="Times New Roman"/>
        </w:rPr>
        <w:lastRenderedPageBreak/>
        <w:t>debris removal (ClearSpace-1, Astroscale). Mega-constellations raise concerns: Starlink alone plans 42,000 satellites (Butterworth-Hayes, 2022).</w:t>
      </w:r>
    </w:p>
    <w:p w14:paraId="7F10F48A" w14:textId="019D3BAF" w:rsidR="00E57424" w:rsidRPr="00E74B88" w:rsidRDefault="00E57424" w:rsidP="00E57424">
      <w:pPr>
        <w:spacing w:line="360" w:lineRule="auto"/>
        <w:jc w:val="both"/>
        <w:rPr>
          <w:rFonts w:ascii="Times New Roman" w:hAnsi="Times New Roman" w:cs="Times New Roman"/>
          <w:b/>
          <w:bCs/>
          <w:u w:val="single"/>
        </w:rPr>
      </w:pPr>
      <w:r w:rsidRPr="00E74B88">
        <w:rPr>
          <w:rFonts w:ascii="Times New Roman" w:hAnsi="Times New Roman" w:cs="Times New Roman"/>
          <w:b/>
          <w:bCs/>
          <w:u w:val="single"/>
        </w:rPr>
        <w:t>Latency Constraints for Real-Time Applications</w:t>
      </w:r>
    </w:p>
    <w:p w14:paraId="48825EA0" w14:textId="77777777" w:rsidR="00E57424" w:rsidRPr="00E57424" w:rsidRDefault="00E57424" w:rsidP="00E57424">
      <w:pPr>
        <w:spacing w:line="360" w:lineRule="auto"/>
        <w:jc w:val="both"/>
        <w:rPr>
          <w:rFonts w:ascii="Times New Roman" w:hAnsi="Times New Roman" w:cs="Times New Roman"/>
        </w:rPr>
      </w:pPr>
    </w:p>
    <w:p w14:paraId="4C74E9C7"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GEO latencies (≈600 ms round-trip) are unsuitable for real-time gaming, high-frequency trading, and some telemedicine. LEO reduces latency to 20-40 ms, but handover between satellites adds jitter. For interactive voice/video, latency &lt;300 ms is acceptable; for tactile Internet (6G requirement), &lt;1 ms remains impossible via satellite.</w:t>
      </w:r>
    </w:p>
    <w:p w14:paraId="3C396656" w14:textId="77777777" w:rsidR="00E57424" w:rsidRPr="00E57424" w:rsidRDefault="00E57424" w:rsidP="00E57424">
      <w:pPr>
        <w:spacing w:line="360" w:lineRule="auto"/>
        <w:jc w:val="both"/>
        <w:rPr>
          <w:rFonts w:ascii="Times New Roman" w:hAnsi="Times New Roman" w:cs="Times New Roman"/>
        </w:rPr>
      </w:pPr>
    </w:p>
    <w:p w14:paraId="0117D26E" w14:textId="26C75AC2" w:rsidR="00E57424" w:rsidRPr="00E74B88" w:rsidRDefault="00E57424" w:rsidP="00E57424">
      <w:pPr>
        <w:spacing w:line="360" w:lineRule="auto"/>
        <w:jc w:val="both"/>
        <w:rPr>
          <w:rFonts w:ascii="Times New Roman" w:hAnsi="Times New Roman" w:cs="Times New Roman"/>
          <w:b/>
          <w:bCs/>
        </w:rPr>
      </w:pPr>
      <w:r w:rsidRPr="00E74B88">
        <w:rPr>
          <w:rFonts w:ascii="Times New Roman" w:hAnsi="Times New Roman" w:cs="Times New Roman"/>
          <w:b/>
          <w:bCs/>
        </w:rPr>
        <w:t xml:space="preserve"> Cybersecurity Vulnerabilities</w:t>
      </w:r>
    </w:p>
    <w:p w14:paraId="09F069A1" w14:textId="77777777" w:rsidR="00E57424" w:rsidRPr="00E57424" w:rsidRDefault="00E57424" w:rsidP="00E57424">
      <w:pPr>
        <w:spacing w:line="360" w:lineRule="auto"/>
        <w:jc w:val="both"/>
        <w:rPr>
          <w:rFonts w:ascii="Times New Roman" w:hAnsi="Times New Roman" w:cs="Times New Roman"/>
        </w:rPr>
      </w:pPr>
    </w:p>
    <w:p w14:paraId="67110AA5"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Satellite links are inherently broadcast in nature, making them vulnerable to:</w:t>
      </w:r>
    </w:p>
    <w:p w14:paraId="13D25A63" w14:textId="77777777" w:rsidR="00E57424" w:rsidRPr="00E57424" w:rsidRDefault="00E57424" w:rsidP="00E57424">
      <w:pPr>
        <w:spacing w:line="360" w:lineRule="auto"/>
        <w:jc w:val="both"/>
        <w:rPr>
          <w:rFonts w:ascii="Times New Roman" w:hAnsi="Times New Roman" w:cs="Times New Roman"/>
        </w:rPr>
      </w:pPr>
    </w:p>
    <w:p w14:paraId="07E23C1E"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Threat | Description | Mitigation |</w:t>
      </w:r>
    </w:p>
    <w:p w14:paraId="0D290E90"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w:t>
      </w:r>
    </w:p>
    <w:p w14:paraId="7B205E9C"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Jamming | Intentional RF interference | Frequency hopping, spread spectrum, null steering |</w:t>
      </w:r>
    </w:p>
    <w:p w14:paraId="23DA7EA2"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Eavesdropping | Passive interception | End-to-end encryption (AES-256), physical layer security |</w:t>
      </w:r>
    </w:p>
    <w:p w14:paraId="1038DF5A"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Spoofing | Fake GPS/telemetry signals | Authentication, cryptographic sequence numbers |</w:t>
      </w:r>
    </w:p>
    <w:p w14:paraId="70DD32A5"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Supply chain attacks | Malicious modification of payload | Secure boot, hardware root of trust |</w:t>
      </w:r>
    </w:p>
    <w:p w14:paraId="70ECD18F"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Ground segment attacks | Hacking ground stations | Firewalls, zero-trust architecture |</w:t>
      </w:r>
    </w:p>
    <w:p w14:paraId="48305143" w14:textId="77777777" w:rsidR="00E57424" w:rsidRPr="00E57424" w:rsidRDefault="00E57424" w:rsidP="00E57424">
      <w:pPr>
        <w:spacing w:line="360" w:lineRule="auto"/>
        <w:jc w:val="both"/>
        <w:rPr>
          <w:rFonts w:ascii="Times New Roman" w:hAnsi="Times New Roman" w:cs="Times New Roman"/>
        </w:rPr>
      </w:pPr>
    </w:p>
    <w:p w14:paraId="00AA49FD"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The 2022 KA-SAT cyberattack (disrupting 5,800 wind turbines) demonstrated critical infrastructure risk (ESA, 2023).</w:t>
      </w:r>
    </w:p>
    <w:p w14:paraId="4EA72917" w14:textId="2CF168D9" w:rsidR="00E57424" w:rsidRPr="00BB7DD6" w:rsidRDefault="00E57424" w:rsidP="00E57424">
      <w:pPr>
        <w:spacing w:line="360" w:lineRule="auto"/>
        <w:jc w:val="both"/>
        <w:rPr>
          <w:rFonts w:ascii="Times New Roman" w:hAnsi="Times New Roman" w:cs="Times New Roman"/>
          <w:b/>
          <w:bCs/>
        </w:rPr>
      </w:pPr>
      <w:r w:rsidRPr="00BB7DD6">
        <w:rPr>
          <w:rFonts w:ascii="Times New Roman" w:hAnsi="Times New Roman" w:cs="Times New Roman"/>
          <w:b/>
          <w:bCs/>
        </w:rPr>
        <w:lastRenderedPageBreak/>
        <w:t xml:space="preserve"> </w:t>
      </w:r>
      <w:r w:rsidR="00B52767">
        <w:rPr>
          <w:rFonts w:ascii="Times New Roman" w:hAnsi="Times New Roman" w:cs="Times New Roman"/>
          <w:b/>
          <w:bCs/>
        </w:rPr>
        <w:t>6</w:t>
      </w:r>
      <w:r w:rsidRPr="00BB7DD6">
        <w:rPr>
          <w:rFonts w:ascii="Times New Roman" w:hAnsi="Times New Roman" w:cs="Times New Roman"/>
          <w:b/>
          <w:bCs/>
        </w:rPr>
        <w:t xml:space="preserve">. </w:t>
      </w:r>
      <w:r w:rsidRPr="00BB7DD6">
        <w:rPr>
          <w:rFonts w:ascii="Times New Roman" w:hAnsi="Times New Roman" w:cs="Times New Roman"/>
          <w:b/>
          <w:bCs/>
          <w:u w:val="single"/>
        </w:rPr>
        <w:t>FUTURE TRENDS: 6G INTEGRATION &amp; AI OPERATIONS</w:t>
      </w:r>
      <w:r w:rsidRPr="00BB7DD6">
        <w:rPr>
          <w:rFonts w:ascii="Times New Roman" w:hAnsi="Times New Roman" w:cs="Times New Roman"/>
          <w:b/>
          <w:bCs/>
        </w:rPr>
        <w:t xml:space="preserve"> </w:t>
      </w:r>
    </w:p>
    <w:p w14:paraId="3B3F1E47" w14:textId="77777777" w:rsidR="00BB7DD6" w:rsidRDefault="00BB7DD6" w:rsidP="00E57424">
      <w:pPr>
        <w:spacing w:line="360" w:lineRule="auto"/>
        <w:jc w:val="both"/>
        <w:rPr>
          <w:rFonts w:ascii="Times New Roman" w:hAnsi="Times New Roman" w:cs="Times New Roman"/>
        </w:rPr>
      </w:pPr>
    </w:p>
    <w:p w14:paraId="1BCF2838" w14:textId="6B868E96" w:rsidR="00E57424" w:rsidRPr="00BB7DD6" w:rsidRDefault="00E57424" w:rsidP="00E57424">
      <w:pPr>
        <w:spacing w:line="360" w:lineRule="auto"/>
        <w:jc w:val="both"/>
        <w:rPr>
          <w:rFonts w:ascii="Times New Roman" w:hAnsi="Times New Roman" w:cs="Times New Roman"/>
          <w:u w:val="single"/>
        </w:rPr>
      </w:pPr>
      <w:r w:rsidRPr="00BB7DD6">
        <w:rPr>
          <w:rFonts w:ascii="Times New Roman" w:hAnsi="Times New Roman" w:cs="Times New Roman"/>
          <w:u w:val="single"/>
        </w:rPr>
        <w:t xml:space="preserve"> 6G Integrated Terrestrial-Satellite Networks</w:t>
      </w:r>
    </w:p>
    <w:p w14:paraId="7546B0E6" w14:textId="77777777" w:rsidR="00E57424" w:rsidRPr="00E57424" w:rsidRDefault="00E57424" w:rsidP="00E57424">
      <w:pPr>
        <w:spacing w:line="360" w:lineRule="auto"/>
        <w:jc w:val="both"/>
        <w:rPr>
          <w:rFonts w:ascii="Times New Roman" w:hAnsi="Times New Roman" w:cs="Times New Roman"/>
        </w:rPr>
      </w:pPr>
    </w:p>
    <w:p w14:paraId="33FD6F7A" w14:textId="0A587C44"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The 6G standard (expected 2030) specifies</w:t>
      </w:r>
      <w:r w:rsidR="00BB7DD6">
        <w:rPr>
          <w:rFonts w:ascii="Times New Roman" w:hAnsi="Times New Roman" w:cs="Times New Roman"/>
        </w:rPr>
        <w:t xml:space="preserve"> </w:t>
      </w:r>
      <w:r w:rsidRPr="00E57424">
        <w:rPr>
          <w:rFonts w:ascii="Times New Roman" w:hAnsi="Times New Roman" w:cs="Times New Roman"/>
        </w:rPr>
        <w:t>non-terrestrial networks (NTN) as a native component, not an afterthought. Key features:</w:t>
      </w:r>
    </w:p>
    <w:p w14:paraId="1CAA61FB" w14:textId="373F36C0" w:rsidR="00E57424" w:rsidRPr="00BB7DD6" w:rsidRDefault="00E57424" w:rsidP="00BB7DD6">
      <w:pPr>
        <w:pStyle w:val="ListParagraph"/>
        <w:numPr>
          <w:ilvl w:val="0"/>
          <w:numId w:val="5"/>
        </w:numPr>
        <w:spacing w:line="360" w:lineRule="auto"/>
        <w:jc w:val="both"/>
        <w:rPr>
          <w:rFonts w:ascii="Times New Roman" w:hAnsi="Times New Roman" w:cs="Times New Roman"/>
        </w:rPr>
      </w:pPr>
      <w:r w:rsidRPr="00BB7DD6">
        <w:rPr>
          <w:rFonts w:ascii="Times New Roman" w:hAnsi="Times New Roman" w:cs="Times New Roman"/>
        </w:rPr>
        <w:t>Seamless handover** between terrestrial gNB and satellite gNB</w:t>
      </w:r>
    </w:p>
    <w:p w14:paraId="4F7D98AC" w14:textId="6EB38316" w:rsidR="00E57424" w:rsidRPr="00BB7DD6" w:rsidRDefault="00E57424" w:rsidP="00BB7DD6">
      <w:pPr>
        <w:pStyle w:val="ListParagraph"/>
        <w:numPr>
          <w:ilvl w:val="0"/>
          <w:numId w:val="5"/>
        </w:numPr>
        <w:spacing w:line="360" w:lineRule="auto"/>
        <w:jc w:val="both"/>
        <w:rPr>
          <w:rFonts w:ascii="Times New Roman" w:hAnsi="Times New Roman" w:cs="Times New Roman"/>
        </w:rPr>
      </w:pPr>
      <w:r w:rsidRPr="00BB7DD6">
        <w:rPr>
          <w:rFonts w:ascii="Times New Roman" w:hAnsi="Times New Roman" w:cs="Times New Roman"/>
        </w:rPr>
        <w:t>Unified air interface** (3GPP Release 18/19 includes NTN enhancements)</w:t>
      </w:r>
    </w:p>
    <w:p w14:paraId="2056EB0F" w14:textId="09E90ECF" w:rsidR="00E57424" w:rsidRPr="00BB7DD6" w:rsidRDefault="00E57424" w:rsidP="00BB7DD6">
      <w:pPr>
        <w:pStyle w:val="ListParagraph"/>
        <w:numPr>
          <w:ilvl w:val="0"/>
          <w:numId w:val="5"/>
        </w:numPr>
        <w:spacing w:line="360" w:lineRule="auto"/>
        <w:jc w:val="both"/>
        <w:rPr>
          <w:rFonts w:ascii="Times New Roman" w:hAnsi="Times New Roman" w:cs="Times New Roman"/>
        </w:rPr>
      </w:pPr>
      <w:r w:rsidRPr="00BB7DD6">
        <w:rPr>
          <w:rFonts w:ascii="Times New Roman" w:hAnsi="Times New Roman" w:cs="Times New Roman"/>
        </w:rPr>
        <w:t>Cell-free massive MIMO** across ground and space nodes</w:t>
      </w:r>
    </w:p>
    <w:p w14:paraId="4184597E" w14:textId="5A69EB5B" w:rsidR="00E57424" w:rsidRPr="00BB7DD6" w:rsidRDefault="00E57424" w:rsidP="00BB7DD6">
      <w:pPr>
        <w:pStyle w:val="ListParagraph"/>
        <w:numPr>
          <w:ilvl w:val="0"/>
          <w:numId w:val="5"/>
        </w:numPr>
        <w:spacing w:line="360" w:lineRule="auto"/>
        <w:jc w:val="both"/>
        <w:rPr>
          <w:rFonts w:ascii="Times New Roman" w:hAnsi="Times New Roman" w:cs="Times New Roman"/>
        </w:rPr>
      </w:pPr>
      <w:r w:rsidRPr="00BB7DD6">
        <w:rPr>
          <w:rFonts w:ascii="Times New Roman" w:hAnsi="Times New Roman" w:cs="Times New Roman"/>
        </w:rPr>
        <w:t>Sub-THz bands** (100-300 GHz) for short-range extreme throughput</w:t>
      </w:r>
    </w:p>
    <w:p w14:paraId="0D6A15B6" w14:textId="77777777" w:rsidR="00E57424" w:rsidRPr="00E57424" w:rsidRDefault="00E57424" w:rsidP="00E57424">
      <w:pPr>
        <w:spacing w:line="360" w:lineRule="auto"/>
        <w:jc w:val="both"/>
        <w:rPr>
          <w:rFonts w:ascii="Times New Roman" w:hAnsi="Times New Roman" w:cs="Times New Roman"/>
        </w:rPr>
      </w:pPr>
    </w:p>
    <w:p w14:paraId="39CF9FEA"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Satellites will serve as “flying base stations” for global coverage, emergency services, and IoT backhaul (Kodheli et al., 2021).</w:t>
      </w:r>
    </w:p>
    <w:p w14:paraId="126DEC0F" w14:textId="77777777" w:rsidR="00E57424" w:rsidRPr="00E57424" w:rsidRDefault="00E57424" w:rsidP="00E57424">
      <w:pPr>
        <w:spacing w:line="360" w:lineRule="auto"/>
        <w:jc w:val="both"/>
        <w:rPr>
          <w:rFonts w:ascii="Times New Roman" w:hAnsi="Times New Roman" w:cs="Times New Roman"/>
        </w:rPr>
      </w:pPr>
    </w:p>
    <w:p w14:paraId="59AEF93D" w14:textId="77777777" w:rsidR="00F57792" w:rsidRDefault="00F57792" w:rsidP="00E57424">
      <w:pPr>
        <w:spacing w:line="360" w:lineRule="auto"/>
        <w:jc w:val="both"/>
        <w:rPr>
          <w:rFonts w:ascii="Times New Roman" w:hAnsi="Times New Roman" w:cs="Times New Roman"/>
        </w:rPr>
      </w:pPr>
    </w:p>
    <w:p w14:paraId="170E207E" w14:textId="77777777" w:rsidR="00F57792" w:rsidRDefault="00F57792" w:rsidP="00E57424">
      <w:pPr>
        <w:spacing w:line="360" w:lineRule="auto"/>
        <w:jc w:val="both"/>
        <w:rPr>
          <w:rFonts w:ascii="Times New Roman" w:hAnsi="Times New Roman" w:cs="Times New Roman"/>
        </w:rPr>
      </w:pPr>
    </w:p>
    <w:p w14:paraId="1E05B96B" w14:textId="289C8103"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AI/ML applications include:</w:t>
      </w:r>
    </w:p>
    <w:p w14:paraId="5CA6F9AA" w14:textId="2192756C" w:rsidR="00E57424" w:rsidRPr="00F57792" w:rsidRDefault="00E57424" w:rsidP="00F57792">
      <w:pPr>
        <w:pStyle w:val="ListParagraph"/>
        <w:numPr>
          <w:ilvl w:val="0"/>
          <w:numId w:val="6"/>
        </w:numPr>
        <w:spacing w:line="360" w:lineRule="auto"/>
        <w:jc w:val="both"/>
        <w:rPr>
          <w:rFonts w:ascii="Times New Roman" w:hAnsi="Times New Roman" w:cs="Times New Roman"/>
        </w:rPr>
      </w:pPr>
      <w:r w:rsidRPr="00F57792">
        <w:rPr>
          <w:rFonts w:ascii="Times New Roman" w:hAnsi="Times New Roman" w:cs="Times New Roman"/>
        </w:rPr>
        <w:t>Autonomous navigation and station-keeping (reinforcement learning reduces ground control)</w:t>
      </w:r>
    </w:p>
    <w:p w14:paraId="0CC4C6A7" w14:textId="17B25CAD" w:rsidR="00E57424" w:rsidRPr="00F57792" w:rsidRDefault="00E57424" w:rsidP="00F57792">
      <w:pPr>
        <w:pStyle w:val="ListParagraph"/>
        <w:numPr>
          <w:ilvl w:val="0"/>
          <w:numId w:val="6"/>
        </w:numPr>
        <w:spacing w:line="360" w:lineRule="auto"/>
        <w:jc w:val="both"/>
        <w:rPr>
          <w:rFonts w:ascii="Times New Roman" w:hAnsi="Times New Roman" w:cs="Times New Roman"/>
        </w:rPr>
      </w:pPr>
      <w:r w:rsidRPr="00F57792">
        <w:rPr>
          <w:rFonts w:ascii="Times New Roman" w:hAnsi="Times New Roman" w:cs="Times New Roman"/>
        </w:rPr>
        <w:t>Anomaly detection from telemetry (auto-encoder networks)</w:t>
      </w:r>
    </w:p>
    <w:p w14:paraId="7405AA9D" w14:textId="41ACD908" w:rsidR="00E57424" w:rsidRPr="00F57792" w:rsidRDefault="00E57424" w:rsidP="00F57792">
      <w:pPr>
        <w:pStyle w:val="ListParagraph"/>
        <w:numPr>
          <w:ilvl w:val="0"/>
          <w:numId w:val="6"/>
        </w:numPr>
        <w:spacing w:line="360" w:lineRule="auto"/>
        <w:jc w:val="both"/>
        <w:rPr>
          <w:rFonts w:ascii="Times New Roman" w:hAnsi="Times New Roman" w:cs="Times New Roman"/>
        </w:rPr>
      </w:pPr>
      <w:r w:rsidRPr="00F57792">
        <w:rPr>
          <w:rFonts w:ascii="Times New Roman" w:hAnsi="Times New Roman" w:cs="Times New Roman"/>
        </w:rPr>
        <w:t>Dynamic beam hopping scheduling</w:t>
      </w:r>
      <w:r w:rsidR="00F57792">
        <w:rPr>
          <w:rFonts w:ascii="Times New Roman" w:hAnsi="Times New Roman" w:cs="Times New Roman"/>
        </w:rPr>
        <w:t xml:space="preserve"> </w:t>
      </w:r>
      <w:r w:rsidRPr="00F57792">
        <w:rPr>
          <w:rFonts w:ascii="Times New Roman" w:hAnsi="Times New Roman" w:cs="Times New Roman"/>
        </w:rPr>
        <w:t>(deep Q-networks optimize capacity allocation)</w:t>
      </w:r>
    </w:p>
    <w:p w14:paraId="186F40D9" w14:textId="5DDAD6AF" w:rsidR="00E57424" w:rsidRPr="00F57792" w:rsidRDefault="00E57424" w:rsidP="00F57792">
      <w:pPr>
        <w:pStyle w:val="ListParagraph"/>
        <w:numPr>
          <w:ilvl w:val="0"/>
          <w:numId w:val="6"/>
        </w:numPr>
        <w:spacing w:line="360" w:lineRule="auto"/>
        <w:jc w:val="both"/>
        <w:rPr>
          <w:rFonts w:ascii="Times New Roman" w:hAnsi="Times New Roman" w:cs="Times New Roman"/>
        </w:rPr>
      </w:pPr>
      <w:r w:rsidRPr="00F57792">
        <w:rPr>
          <w:rFonts w:ascii="Times New Roman" w:hAnsi="Times New Roman" w:cs="Times New Roman"/>
        </w:rPr>
        <w:t>Anti-jamming</w:t>
      </w:r>
      <w:r w:rsidR="00F57792">
        <w:rPr>
          <w:rFonts w:ascii="Times New Roman" w:hAnsi="Times New Roman" w:cs="Times New Roman"/>
        </w:rPr>
        <w:t xml:space="preserve"> </w:t>
      </w:r>
      <w:r w:rsidRPr="00F57792">
        <w:rPr>
          <w:rFonts w:ascii="Times New Roman" w:hAnsi="Times New Roman" w:cs="Times New Roman"/>
        </w:rPr>
        <w:t>(cognitive radio with spectrum sensing)</w:t>
      </w:r>
    </w:p>
    <w:p w14:paraId="7F178963" w14:textId="66C83598" w:rsidR="00E57424" w:rsidRPr="00F57792" w:rsidRDefault="00E57424" w:rsidP="00F57792">
      <w:pPr>
        <w:pStyle w:val="ListParagraph"/>
        <w:numPr>
          <w:ilvl w:val="0"/>
          <w:numId w:val="6"/>
        </w:numPr>
        <w:spacing w:line="360" w:lineRule="auto"/>
        <w:jc w:val="both"/>
        <w:rPr>
          <w:rFonts w:ascii="Times New Roman" w:hAnsi="Times New Roman" w:cs="Times New Roman"/>
        </w:rPr>
      </w:pPr>
      <w:r w:rsidRPr="00F57792">
        <w:rPr>
          <w:rFonts w:ascii="Times New Roman" w:hAnsi="Times New Roman" w:cs="Times New Roman"/>
        </w:rPr>
        <w:t>Predictive maintenance (remaining useful life estimation for batteries and thrusters)</w:t>
      </w:r>
    </w:p>
    <w:p w14:paraId="3868B2EC" w14:textId="77777777" w:rsidR="00B52767" w:rsidRDefault="00E57424" w:rsidP="00E57424">
      <w:pPr>
        <w:spacing w:line="360" w:lineRule="auto"/>
        <w:jc w:val="both"/>
        <w:rPr>
          <w:rFonts w:ascii="Times New Roman" w:hAnsi="Times New Roman" w:cs="Times New Roman"/>
        </w:rPr>
      </w:pPr>
      <w:r w:rsidRPr="00E57424">
        <w:rPr>
          <w:rFonts w:ascii="Times New Roman" w:hAnsi="Times New Roman" w:cs="Times New Roman"/>
        </w:rPr>
        <w:t>Example: ESA’s “-1” project demonstrated onboard AI for cloud detection in Earth observation, reducing downlink bandwidth by 95% (ESA TIA, 2024).</w:t>
      </w:r>
    </w:p>
    <w:p w14:paraId="473B3F43" w14:textId="4160C4BF" w:rsidR="00E57424" w:rsidRPr="00B52767" w:rsidRDefault="00E57424" w:rsidP="00E57424">
      <w:pPr>
        <w:spacing w:line="360" w:lineRule="auto"/>
        <w:jc w:val="both"/>
        <w:rPr>
          <w:rFonts w:ascii="Times New Roman" w:hAnsi="Times New Roman" w:cs="Times New Roman"/>
        </w:rPr>
      </w:pPr>
      <w:r w:rsidRPr="00F57792">
        <w:rPr>
          <w:rFonts w:ascii="Times New Roman" w:hAnsi="Times New Roman" w:cs="Times New Roman"/>
          <w:b/>
          <w:bCs/>
        </w:rPr>
        <w:lastRenderedPageBreak/>
        <w:t xml:space="preserve"> </w:t>
      </w:r>
      <w:r w:rsidR="00B52767">
        <w:rPr>
          <w:rFonts w:ascii="Times New Roman" w:hAnsi="Times New Roman" w:cs="Times New Roman"/>
          <w:b/>
          <w:bCs/>
        </w:rPr>
        <w:t>7</w:t>
      </w:r>
      <w:r w:rsidRPr="00F57792">
        <w:rPr>
          <w:rFonts w:ascii="Times New Roman" w:hAnsi="Times New Roman" w:cs="Times New Roman"/>
          <w:b/>
          <w:bCs/>
        </w:rPr>
        <w:t xml:space="preserve">. </w:t>
      </w:r>
      <w:r w:rsidRPr="00F57792">
        <w:rPr>
          <w:rFonts w:ascii="Times New Roman" w:hAnsi="Times New Roman" w:cs="Times New Roman"/>
          <w:b/>
          <w:bCs/>
          <w:u w:val="single"/>
        </w:rPr>
        <w:t>CONCLUSION</w:t>
      </w:r>
      <w:r w:rsidRPr="00F57792">
        <w:rPr>
          <w:rFonts w:ascii="Times New Roman" w:hAnsi="Times New Roman" w:cs="Times New Roman"/>
          <w:b/>
          <w:bCs/>
        </w:rPr>
        <w:t xml:space="preserve"> </w:t>
      </w:r>
    </w:p>
    <w:p w14:paraId="05637474"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This essay has provided a comprehensive analysis of advanced satellite data communication, focusing on High-Throughput Spot Beam technology (“Satellite Zooming”). Key findings:</w:t>
      </w:r>
    </w:p>
    <w:p w14:paraId="215463C7"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1. HTS with frequency reuse achieves 100x capacity gains over conventional satellites, enabling terabit-per-second services.</w:t>
      </w:r>
    </w:p>
    <w:p w14:paraId="3D848E27" w14:textId="77777777" w:rsidR="00E57424" w:rsidRPr="00E57424" w:rsidRDefault="00E57424" w:rsidP="00E57424">
      <w:pPr>
        <w:spacing w:line="360" w:lineRule="auto"/>
        <w:jc w:val="both"/>
        <w:rPr>
          <w:rFonts w:ascii="Times New Roman" w:hAnsi="Times New Roman" w:cs="Times New Roman"/>
        </w:rPr>
      </w:pPr>
    </w:p>
    <w:p w14:paraId="214E453D"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2. Orbital choice (LEO vs. GEO) involves fundamental trade-offs between latency and coverage; neither fully dominates all use cases.</w:t>
      </w:r>
    </w:p>
    <w:p w14:paraId="52C2EB2F" w14:textId="77777777" w:rsidR="00E57424" w:rsidRPr="00E57424" w:rsidRDefault="00E57424" w:rsidP="00E57424">
      <w:pPr>
        <w:spacing w:line="360" w:lineRule="auto"/>
        <w:jc w:val="both"/>
        <w:rPr>
          <w:rFonts w:ascii="Times New Roman" w:hAnsi="Times New Roman" w:cs="Times New Roman"/>
        </w:rPr>
      </w:pPr>
    </w:p>
    <w:p w14:paraId="1AC5427E"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3. Satellite systems excel in global ubiquity and disaster resilience but face persistent challenges in atmospheric attenuation, orbital debris proliferation, and cybersecurity vulnerabilities.</w:t>
      </w:r>
    </w:p>
    <w:p w14:paraId="1C949C24" w14:textId="77777777" w:rsidR="00E57424" w:rsidRPr="00E57424" w:rsidRDefault="00E57424" w:rsidP="00E57424">
      <w:pPr>
        <w:spacing w:line="360" w:lineRule="auto"/>
        <w:jc w:val="both"/>
        <w:rPr>
          <w:rFonts w:ascii="Times New Roman" w:hAnsi="Times New Roman" w:cs="Times New Roman"/>
        </w:rPr>
      </w:pPr>
    </w:p>
    <w:p w14:paraId="0C36C5AE"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4. 6G will fully integrate satellite and terrestrial networks, while AI enables autonomous operations that reduce ground control costs and improve responsiveness.</w:t>
      </w:r>
    </w:p>
    <w:p w14:paraId="2C4A6B52" w14:textId="77777777" w:rsidR="00E57424" w:rsidRPr="00E57424" w:rsidRDefault="00E57424" w:rsidP="00E57424">
      <w:pPr>
        <w:spacing w:line="360" w:lineRule="auto"/>
        <w:jc w:val="both"/>
        <w:rPr>
          <w:rFonts w:ascii="Times New Roman" w:hAnsi="Times New Roman" w:cs="Times New Roman"/>
        </w:rPr>
      </w:pPr>
    </w:p>
    <w:p w14:paraId="3E03EABA"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The growth of mega-constellations raises urgent policy questions about orbital sustainability, spectrum sharing, and military dual-use applications. Future research should focus on terahertz communications, quantum key distribution for satellites, and legal frameworks for space traffic management.</w:t>
      </w:r>
    </w:p>
    <w:p w14:paraId="3750B56A" w14:textId="77777777" w:rsidR="00E57424" w:rsidRPr="00E57424" w:rsidRDefault="00E57424" w:rsidP="00E57424">
      <w:pPr>
        <w:spacing w:line="360" w:lineRule="auto"/>
        <w:jc w:val="both"/>
        <w:rPr>
          <w:rFonts w:ascii="Times New Roman" w:hAnsi="Times New Roman" w:cs="Times New Roman"/>
        </w:rPr>
      </w:pPr>
    </w:p>
    <w:p w14:paraId="2E4C872A"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Practical recommendations for network operators:</w:t>
      </w:r>
    </w:p>
    <w:p w14:paraId="48EA2010"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Deploy hybrid fiber-satellite architectures for optimal cost/latency.</w:t>
      </w:r>
    </w:p>
    <w:p w14:paraId="58DCDC6E"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Implement ACM and site diversity to mitigate rain fade.</w:t>
      </w:r>
    </w:p>
    <w:p w14:paraId="2C0140E7"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 Adopt zero-trust security models for satellite ground segments.</w:t>
      </w:r>
    </w:p>
    <w:p w14:paraId="4188B8FE" w14:textId="77777777" w:rsidR="00401D6E" w:rsidRDefault="00E57424" w:rsidP="00E57424">
      <w:pPr>
        <w:spacing w:line="360" w:lineRule="auto"/>
        <w:jc w:val="both"/>
        <w:rPr>
          <w:rFonts w:ascii="Times New Roman" w:hAnsi="Times New Roman" w:cs="Times New Roman"/>
        </w:rPr>
      </w:pPr>
      <w:r w:rsidRPr="00E57424">
        <w:rPr>
          <w:rFonts w:ascii="Times New Roman" w:hAnsi="Times New Roman" w:cs="Times New Roman"/>
        </w:rPr>
        <w:t>- Support orbital debris mitigation through compliant deorbit plans.</w:t>
      </w:r>
    </w:p>
    <w:p w14:paraId="60ECB2D8" w14:textId="4DD00CD2" w:rsidR="00E57424" w:rsidRPr="00401D6E" w:rsidRDefault="00B52767" w:rsidP="00E57424">
      <w:pPr>
        <w:spacing w:line="360" w:lineRule="auto"/>
        <w:jc w:val="both"/>
        <w:rPr>
          <w:rFonts w:ascii="Times New Roman" w:hAnsi="Times New Roman" w:cs="Times New Roman"/>
        </w:rPr>
      </w:pPr>
      <w:r>
        <w:rPr>
          <w:rFonts w:ascii="Times New Roman" w:hAnsi="Times New Roman" w:cs="Times New Roman"/>
          <w:b/>
          <w:bCs/>
        </w:rPr>
        <w:lastRenderedPageBreak/>
        <w:t>8</w:t>
      </w:r>
      <w:r w:rsidR="00E57424" w:rsidRPr="00F57792">
        <w:rPr>
          <w:rFonts w:ascii="Times New Roman" w:hAnsi="Times New Roman" w:cs="Times New Roman"/>
          <w:b/>
          <w:bCs/>
        </w:rPr>
        <w:t xml:space="preserve">. </w:t>
      </w:r>
      <w:r w:rsidR="00E57424" w:rsidRPr="00F57792">
        <w:rPr>
          <w:rFonts w:ascii="Times New Roman" w:hAnsi="Times New Roman" w:cs="Times New Roman"/>
          <w:b/>
          <w:bCs/>
          <w:u w:val="single"/>
        </w:rPr>
        <w:t xml:space="preserve">REFERENCES </w:t>
      </w:r>
    </w:p>
    <w:p w14:paraId="7395ED2B"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1. Pelton, J. N. (2019). *Satellite communications* (5th ed.). Springer.</w:t>
      </w:r>
    </w:p>
    <w:p w14:paraId="59B88F9E" w14:textId="77777777" w:rsidR="00E57424" w:rsidRPr="00E57424" w:rsidRDefault="00E57424" w:rsidP="00E57424">
      <w:pPr>
        <w:spacing w:line="360" w:lineRule="auto"/>
        <w:jc w:val="both"/>
        <w:rPr>
          <w:rFonts w:ascii="Times New Roman" w:hAnsi="Times New Roman" w:cs="Times New Roman"/>
        </w:rPr>
      </w:pPr>
    </w:p>
    <w:p w14:paraId="186A8A20"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2. Roddy, D. (2018). *Satellite communications* (4th ed.). McGraw-Hill.</w:t>
      </w:r>
    </w:p>
    <w:p w14:paraId="4A41AC6A" w14:textId="77777777" w:rsidR="00E57424" w:rsidRPr="00E57424" w:rsidRDefault="00E57424" w:rsidP="00E57424">
      <w:pPr>
        <w:spacing w:line="360" w:lineRule="auto"/>
        <w:jc w:val="both"/>
        <w:rPr>
          <w:rFonts w:ascii="Times New Roman" w:hAnsi="Times New Roman" w:cs="Times New Roman"/>
        </w:rPr>
      </w:pPr>
    </w:p>
    <w:p w14:paraId="54804097"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3. Masenga, S., &amp; Anatory, J. (2022). A survey of LEO satellite constellations for global broadband. *IEEE Communications Surveys &amp; Tutorials*, 24(3), 1560-1598.</w:t>
      </w:r>
    </w:p>
    <w:p w14:paraId="573AB1C7" w14:textId="77777777" w:rsidR="00E57424" w:rsidRPr="00E57424" w:rsidRDefault="00E57424" w:rsidP="00E57424">
      <w:pPr>
        <w:spacing w:line="360" w:lineRule="auto"/>
        <w:jc w:val="both"/>
        <w:rPr>
          <w:rFonts w:ascii="Times New Roman" w:hAnsi="Times New Roman" w:cs="Times New Roman"/>
        </w:rPr>
      </w:pPr>
    </w:p>
    <w:p w14:paraId="01C2FFBB"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4. Fenech, H., Amos, S., Tomatis, A., &amp; Soumpholphakdy, V. (2019). High throughput satellite systems: An analytical approach. *IEEE Transactions on Aerospace and Electronic Systems*, 55(5), 2456-2465.</w:t>
      </w:r>
    </w:p>
    <w:p w14:paraId="30D953A5" w14:textId="77777777" w:rsidR="00E57424" w:rsidRPr="00E57424" w:rsidRDefault="00E57424" w:rsidP="00E57424">
      <w:pPr>
        <w:spacing w:line="360" w:lineRule="auto"/>
        <w:jc w:val="both"/>
        <w:rPr>
          <w:rFonts w:ascii="Times New Roman" w:hAnsi="Times New Roman" w:cs="Times New Roman"/>
        </w:rPr>
      </w:pPr>
    </w:p>
    <w:p w14:paraId="1C6AA8F4"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5. del Portillo, I., Cameron, B. G., &amp; Crawley, E. F. (2019). A technical comparison of three low earth orbit satellite constellation systems. *Acta Astronautica*, 159, 123-135.</w:t>
      </w:r>
    </w:p>
    <w:p w14:paraId="42E0521C" w14:textId="77777777" w:rsidR="00E57424" w:rsidRPr="00E57424" w:rsidRDefault="00E57424" w:rsidP="00E57424">
      <w:pPr>
        <w:spacing w:line="360" w:lineRule="auto"/>
        <w:jc w:val="both"/>
        <w:rPr>
          <w:rFonts w:ascii="Times New Roman" w:hAnsi="Times New Roman" w:cs="Times New Roman"/>
        </w:rPr>
      </w:pPr>
    </w:p>
    <w:p w14:paraId="32BAE23A"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6. Liolis, K., Schraml, K., Paroutis, S., &amp; Knopp, A. (2021). Future satellite networks: A survey of HTS and VHTS systems. *International Journal of Satellite Communications and Networking*, 39(4), 345-367.</w:t>
      </w:r>
    </w:p>
    <w:p w14:paraId="46858DAE" w14:textId="77777777" w:rsidR="00E57424" w:rsidRPr="00E57424" w:rsidRDefault="00E57424" w:rsidP="00E57424">
      <w:pPr>
        <w:spacing w:line="360" w:lineRule="auto"/>
        <w:jc w:val="both"/>
        <w:rPr>
          <w:rFonts w:ascii="Times New Roman" w:hAnsi="Times New Roman" w:cs="Times New Roman"/>
        </w:rPr>
      </w:pPr>
    </w:p>
    <w:p w14:paraId="0C993869"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7. Rao, S. K. (2020). *Orbital mechanics for satellite communications*. Cambridge University Press.</w:t>
      </w:r>
    </w:p>
    <w:p w14:paraId="6D15D2B5" w14:textId="77777777" w:rsidR="00E57424" w:rsidRPr="00E57424" w:rsidRDefault="00E57424" w:rsidP="00E57424">
      <w:pPr>
        <w:spacing w:line="360" w:lineRule="auto"/>
        <w:jc w:val="both"/>
        <w:rPr>
          <w:rFonts w:ascii="Times New Roman" w:hAnsi="Times New Roman" w:cs="Times New Roman"/>
        </w:rPr>
      </w:pPr>
    </w:p>
    <w:p w14:paraId="79415D4A"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8. Aloisi, G., et al. (2022). Q/V band satellite communications: Propagation and system design. *IEEE Transactions on Antennas and Propagation*, 70(8), 6500-6512.</w:t>
      </w:r>
    </w:p>
    <w:p w14:paraId="5BA4E3AE" w14:textId="77777777" w:rsidR="00E57424" w:rsidRPr="00E57424" w:rsidRDefault="00E57424" w:rsidP="00E57424">
      <w:pPr>
        <w:spacing w:line="360" w:lineRule="auto"/>
        <w:jc w:val="both"/>
        <w:rPr>
          <w:rFonts w:ascii="Times New Roman" w:hAnsi="Times New Roman" w:cs="Times New Roman"/>
        </w:rPr>
      </w:pPr>
    </w:p>
    <w:p w14:paraId="5FBF7788"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lastRenderedPageBreak/>
        <w:t>9. Morello, A., &amp; Mignone, V. (2021). DVB-S2X: The second generation extended standard for satellite broadband. *Proceedings of the IEEE*, 109(3), 345-362.</w:t>
      </w:r>
    </w:p>
    <w:p w14:paraId="4F5976C5" w14:textId="77777777" w:rsidR="00E57424" w:rsidRPr="00E57424" w:rsidRDefault="00E57424" w:rsidP="00E57424">
      <w:pPr>
        <w:spacing w:line="360" w:lineRule="auto"/>
        <w:jc w:val="both"/>
        <w:rPr>
          <w:rFonts w:ascii="Times New Roman" w:hAnsi="Times New Roman" w:cs="Times New Roman"/>
        </w:rPr>
      </w:pPr>
    </w:p>
    <w:p w14:paraId="362E3FA7"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10. Cocco, G., Alagha, N., &amp; Verhoeven, C. (2018). Beam hopping for high-throughput satellite systems. *International Journal of Satellite Communications and Networking*, 36(6), 496-510.</w:t>
      </w:r>
    </w:p>
    <w:p w14:paraId="274CCC93" w14:textId="77777777" w:rsidR="00E57424" w:rsidRPr="00E57424" w:rsidRDefault="00E57424" w:rsidP="00E57424">
      <w:pPr>
        <w:spacing w:line="360" w:lineRule="auto"/>
        <w:jc w:val="both"/>
        <w:rPr>
          <w:rFonts w:ascii="Times New Roman" w:hAnsi="Times New Roman" w:cs="Times New Roman"/>
        </w:rPr>
      </w:pPr>
    </w:p>
    <w:p w14:paraId="4850F440"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11. Giambene, G., et al. (2021). Satellite-5G integration: A network perspective. *IEEE Network*, 35(2), 108-115.</w:t>
      </w:r>
    </w:p>
    <w:p w14:paraId="64B714B6" w14:textId="77777777" w:rsidR="00E57424" w:rsidRPr="00E57424" w:rsidRDefault="00E57424" w:rsidP="00E57424">
      <w:pPr>
        <w:spacing w:line="360" w:lineRule="auto"/>
        <w:jc w:val="both"/>
        <w:rPr>
          <w:rFonts w:ascii="Times New Roman" w:hAnsi="Times New Roman" w:cs="Times New Roman"/>
        </w:rPr>
      </w:pPr>
    </w:p>
    <w:p w14:paraId="5EA285AC"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12. Butterworth-Hayes, P. (2022). Orbital debris: The growing challenge for satellite operators. *Space Policy*, 62, 101512.</w:t>
      </w:r>
    </w:p>
    <w:p w14:paraId="1BEF057B" w14:textId="77777777" w:rsidR="00E57424" w:rsidRPr="00E57424" w:rsidRDefault="00E57424" w:rsidP="00E57424">
      <w:pPr>
        <w:spacing w:line="360" w:lineRule="auto"/>
        <w:jc w:val="both"/>
        <w:rPr>
          <w:rFonts w:ascii="Times New Roman" w:hAnsi="Times New Roman" w:cs="Times New Roman"/>
        </w:rPr>
      </w:pPr>
    </w:p>
    <w:p w14:paraId="3BB20C09"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13. ESA (European Space Agency). (2023). Annual space environment report (ESA-ESOC).</w:t>
      </w:r>
    </w:p>
    <w:p w14:paraId="388492A2" w14:textId="77777777" w:rsidR="00E57424" w:rsidRPr="00E57424" w:rsidRDefault="00E57424" w:rsidP="00E57424">
      <w:pPr>
        <w:spacing w:line="360" w:lineRule="auto"/>
        <w:jc w:val="both"/>
        <w:rPr>
          <w:rFonts w:ascii="Times New Roman" w:hAnsi="Times New Roman" w:cs="Times New Roman"/>
        </w:rPr>
      </w:pPr>
    </w:p>
    <w:p w14:paraId="50FA10C4"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14. Kodheli, O., et al. (2021). Satellite communications in the 6G era. *IEEE Communications Magazine*, 59(4), 56-62.</w:t>
      </w:r>
    </w:p>
    <w:p w14:paraId="246206B9" w14:textId="77777777" w:rsidR="00E57424" w:rsidRPr="00E57424" w:rsidRDefault="00E57424" w:rsidP="00E57424">
      <w:pPr>
        <w:spacing w:line="360" w:lineRule="auto"/>
        <w:jc w:val="both"/>
        <w:rPr>
          <w:rFonts w:ascii="Times New Roman" w:hAnsi="Times New Roman" w:cs="Times New Roman"/>
        </w:rPr>
      </w:pPr>
    </w:p>
    <w:p w14:paraId="5FA8A0AD"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15. ESA TIA. (2024). AI in space: Onboard processing achievements.</w:t>
      </w:r>
    </w:p>
    <w:p w14:paraId="6328F2E6" w14:textId="77777777" w:rsidR="00E57424" w:rsidRPr="00E57424" w:rsidRDefault="00E57424" w:rsidP="00E57424">
      <w:pPr>
        <w:spacing w:line="360" w:lineRule="auto"/>
        <w:jc w:val="both"/>
        <w:rPr>
          <w:rFonts w:ascii="Times New Roman" w:hAnsi="Times New Roman" w:cs="Times New Roman"/>
        </w:rPr>
      </w:pPr>
    </w:p>
    <w:p w14:paraId="34FB4A88"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16. Telesat. (2020). Lightspeed LEO constellation technical white paper.</w:t>
      </w:r>
    </w:p>
    <w:p w14:paraId="2767093E" w14:textId="77777777" w:rsidR="00E57424" w:rsidRPr="00E57424" w:rsidRDefault="00E57424" w:rsidP="00E57424">
      <w:pPr>
        <w:spacing w:line="360" w:lineRule="auto"/>
        <w:jc w:val="both"/>
        <w:rPr>
          <w:rFonts w:ascii="Times New Roman" w:hAnsi="Times New Roman" w:cs="Times New Roman"/>
        </w:rPr>
      </w:pPr>
    </w:p>
    <w:p w14:paraId="36DA4E17"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17. Viasat Inc. (2023). ViaSat-3 constellation fact sheet.</w:t>
      </w:r>
    </w:p>
    <w:p w14:paraId="6FF29587" w14:textId="77777777" w:rsidR="00E57424" w:rsidRPr="00E57424" w:rsidRDefault="00E57424" w:rsidP="00E57424">
      <w:pPr>
        <w:spacing w:line="360" w:lineRule="auto"/>
        <w:jc w:val="both"/>
        <w:rPr>
          <w:rFonts w:ascii="Times New Roman" w:hAnsi="Times New Roman" w:cs="Times New Roman"/>
        </w:rPr>
      </w:pPr>
    </w:p>
    <w:p w14:paraId="485F5FB1"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lastRenderedPageBreak/>
        <w:t>18. SpaceX. (2024). Starlink Gen2 non-geostationary orbit system filing (FCC File No. SAT-MOD-20231201-00123).</w:t>
      </w:r>
    </w:p>
    <w:p w14:paraId="0DE6E8B0" w14:textId="77777777" w:rsidR="00E57424" w:rsidRPr="00E57424" w:rsidRDefault="00E57424" w:rsidP="00E57424">
      <w:pPr>
        <w:spacing w:line="360" w:lineRule="auto"/>
        <w:jc w:val="both"/>
        <w:rPr>
          <w:rFonts w:ascii="Times New Roman" w:hAnsi="Times New Roman" w:cs="Times New Roman"/>
        </w:rPr>
      </w:pPr>
    </w:p>
    <w:p w14:paraId="6E79642D"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19. ITU-R P.618-13. (2023). Propagation data and prediction methods for satellite systems. International Telecommunication Union.</w:t>
      </w:r>
    </w:p>
    <w:p w14:paraId="4205140C" w14:textId="77777777" w:rsidR="00E57424" w:rsidRPr="00E57424" w:rsidRDefault="00E57424" w:rsidP="00E57424">
      <w:pPr>
        <w:spacing w:line="360" w:lineRule="auto"/>
        <w:jc w:val="both"/>
        <w:rPr>
          <w:rFonts w:ascii="Times New Roman" w:hAnsi="Times New Roman" w:cs="Times New Roman"/>
        </w:rPr>
      </w:pPr>
    </w:p>
    <w:p w14:paraId="57DEFA62"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20. 3GPP TR 38.821. (2022). Solutions for NR to support non-terrestrial networks (Release 16).</w:t>
      </w:r>
    </w:p>
    <w:p w14:paraId="20385C44" w14:textId="77777777" w:rsidR="00E57424" w:rsidRPr="00E57424" w:rsidRDefault="00E57424" w:rsidP="00E57424">
      <w:pPr>
        <w:spacing w:line="360" w:lineRule="auto"/>
        <w:jc w:val="both"/>
        <w:rPr>
          <w:rFonts w:ascii="Times New Roman" w:hAnsi="Times New Roman" w:cs="Times New Roman"/>
        </w:rPr>
      </w:pPr>
    </w:p>
    <w:p w14:paraId="2D386E4D"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21. Maral, G., Bousquet, M., &amp; Sun, Z. (2020). *Satellite communications systems: Systems, techniques and technology* (6th ed.). Wiley.</w:t>
      </w:r>
    </w:p>
    <w:p w14:paraId="68EC5264" w14:textId="77777777" w:rsidR="00E57424" w:rsidRPr="00E57424" w:rsidRDefault="00E57424" w:rsidP="00E57424">
      <w:pPr>
        <w:spacing w:line="360" w:lineRule="auto"/>
        <w:jc w:val="both"/>
        <w:rPr>
          <w:rFonts w:ascii="Times New Roman" w:hAnsi="Times New Roman" w:cs="Times New Roman"/>
        </w:rPr>
      </w:pPr>
    </w:p>
    <w:p w14:paraId="4D21BF0A"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22. Pratt, T., &amp; Allnutt, J. (2019). *Satellite communications* (3rd ed.). Wiley.</w:t>
      </w:r>
    </w:p>
    <w:p w14:paraId="22AAAE03" w14:textId="77777777" w:rsidR="00E57424" w:rsidRPr="00E57424" w:rsidRDefault="00E57424" w:rsidP="00E57424">
      <w:pPr>
        <w:spacing w:line="360" w:lineRule="auto"/>
        <w:jc w:val="both"/>
        <w:rPr>
          <w:rFonts w:ascii="Times New Roman" w:hAnsi="Times New Roman" w:cs="Times New Roman"/>
        </w:rPr>
      </w:pPr>
    </w:p>
    <w:p w14:paraId="08E27898"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23. Wang, Z., et al. (2023). Beamforming for LEO constellations: A survey. *IEEE Access*, 11, 22345-22368.</w:t>
      </w:r>
    </w:p>
    <w:p w14:paraId="733907FA" w14:textId="77777777" w:rsidR="00E57424" w:rsidRPr="00E57424" w:rsidRDefault="00E57424" w:rsidP="00E57424">
      <w:pPr>
        <w:spacing w:line="360" w:lineRule="auto"/>
        <w:jc w:val="both"/>
        <w:rPr>
          <w:rFonts w:ascii="Times New Roman" w:hAnsi="Times New Roman" w:cs="Times New Roman"/>
        </w:rPr>
      </w:pPr>
    </w:p>
    <w:p w14:paraId="6DF3FAD4"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24. Bhasin, K., &amp; Hayden, J. (2021). Software-defined satellite payloads. *IEEE Aerospace Conference Proceedings*, 1-12.</w:t>
      </w:r>
    </w:p>
    <w:p w14:paraId="43EA7E58" w14:textId="77777777" w:rsidR="00E57424" w:rsidRPr="00E57424" w:rsidRDefault="00E57424" w:rsidP="00E57424">
      <w:pPr>
        <w:spacing w:line="360" w:lineRule="auto"/>
        <w:jc w:val="both"/>
        <w:rPr>
          <w:rFonts w:ascii="Times New Roman" w:hAnsi="Times New Roman" w:cs="Times New Roman"/>
        </w:rPr>
      </w:pPr>
    </w:p>
    <w:p w14:paraId="15FDBC08"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25. Iannucci, P. A., &amp; Humphreys, T. E. (2021). Fused low-Earth-orbit GNSS. *IEEE Transactions on Aerospace and Electronic Systems*, 57(6), 3885-3903.</w:t>
      </w:r>
    </w:p>
    <w:p w14:paraId="42232C03" w14:textId="77777777" w:rsidR="00E57424" w:rsidRPr="00E57424" w:rsidRDefault="00E57424" w:rsidP="00E57424">
      <w:pPr>
        <w:spacing w:line="360" w:lineRule="auto"/>
        <w:jc w:val="both"/>
        <w:rPr>
          <w:rFonts w:ascii="Times New Roman" w:hAnsi="Times New Roman" w:cs="Times New Roman"/>
        </w:rPr>
      </w:pPr>
    </w:p>
    <w:p w14:paraId="5A5C5644" w14:textId="77777777" w:rsidR="00E57424" w:rsidRPr="00E57424" w:rsidRDefault="00E57424" w:rsidP="00E57424">
      <w:pPr>
        <w:spacing w:line="360" w:lineRule="auto"/>
        <w:jc w:val="both"/>
        <w:rPr>
          <w:rFonts w:ascii="Times New Roman" w:hAnsi="Times New Roman" w:cs="Times New Roman"/>
        </w:rPr>
      </w:pPr>
      <w:r w:rsidRPr="00E57424">
        <w:rPr>
          <w:rFonts w:ascii="Times New Roman" w:hAnsi="Times New Roman" w:cs="Times New Roman"/>
        </w:rPr>
        <w:t>26. Su, Y., et al. (2022). AI-enabled autonomous operations for satellite mega-constellations. *IEEE Journal on Selected Areas in Communications*, 40(6), 1920-1934.</w:t>
      </w:r>
    </w:p>
    <w:p w14:paraId="23664D1D" w14:textId="77777777" w:rsidR="00E57424" w:rsidRPr="00E57424" w:rsidRDefault="00E57424" w:rsidP="00E57424">
      <w:pPr>
        <w:spacing w:line="360" w:lineRule="auto"/>
        <w:jc w:val="both"/>
        <w:rPr>
          <w:rFonts w:ascii="Times New Roman" w:hAnsi="Times New Roman" w:cs="Times New Roman"/>
        </w:rPr>
      </w:pPr>
    </w:p>
    <w:sectPr w:rsidR="00E57424" w:rsidRPr="00E574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342C8"/>
    <w:multiLevelType w:val="hybridMultilevel"/>
    <w:tmpl w:val="E242B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C63CC"/>
    <w:multiLevelType w:val="hybridMultilevel"/>
    <w:tmpl w:val="4D1EC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FB35CC"/>
    <w:multiLevelType w:val="hybridMultilevel"/>
    <w:tmpl w:val="29620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C84C90"/>
    <w:multiLevelType w:val="hybridMultilevel"/>
    <w:tmpl w:val="D228C41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46945532"/>
    <w:multiLevelType w:val="hybridMultilevel"/>
    <w:tmpl w:val="64187BD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74936B39"/>
    <w:multiLevelType w:val="hybridMultilevel"/>
    <w:tmpl w:val="A2065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2423524">
    <w:abstractNumId w:val="3"/>
  </w:num>
  <w:num w:numId="2" w16cid:durableId="2092773606">
    <w:abstractNumId w:val="2"/>
  </w:num>
  <w:num w:numId="3" w16cid:durableId="1843010866">
    <w:abstractNumId w:val="4"/>
  </w:num>
  <w:num w:numId="4" w16cid:durableId="1083381504">
    <w:abstractNumId w:val="0"/>
  </w:num>
  <w:num w:numId="5" w16cid:durableId="502552074">
    <w:abstractNumId w:val="1"/>
  </w:num>
  <w:num w:numId="6" w16cid:durableId="19843856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424"/>
    <w:rsid w:val="000C2EE4"/>
    <w:rsid w:val="000D1643"/>
    <w:rsid w:val="001B1119"/>
    <w:rsid w:val="00205A84"/>
    <w:rsid w:val="00335E61"/>
    <w:rsid w:val="00401D6E"/>
    <w:rsid w:val="004735A3"/>
    <w:rsid w:val="007A4190"/>
    <w:rsid w:val="007F2875"/>
    <w:rsid w:val="008C2786"/>
    <w:rsid w:val="00A54D51"/>
    <w:rsid w:val="00B52767"/>
    <w:rsid w:val="00BB7DD6"/>
    <w:rsid w:val="00E52BC6"/>
    <w:rsid w:val="00E57424"/>
    <w:rsid w:val="00E74B88"/>
    <w:rsid w:val="00F57792"/>
    <w:rsid w:val="00FB3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1642"/>
  <w15:chartTrackingRefBased/>
  <w15:docId w15:val="{BB9D4D0C-5CFE-48BE-8952-506D3264E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4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4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4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4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4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4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424"/>
    <w:rPr>
      <w:rFonts w:eastAsiaTheme="majorEastAsia" w:cstheme="majorBidi"/>
      <w:color w:val="272727" w:themeColor="text1" w:themeTint="D8"/>
    </w:rPr>
  </w:style>
  <w:style w:type="paragraph" w:styleId="Title">
    <w:name w:val="Title"/>
    <w:basedOn w:val="Normal"/>
    <w:next w:val="Normal"/>
    <w:link w:val="TitleChar"/>
    <w:uiPriority w:val="10"/>
    <w:qFormat/>
    <w:rsid w:val="00E57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424"/>
    <w:pPr>
      <w:spacing w:before="160"/>
      <w:jc w:val="center"/>
    </w:pPr>
    <w:rPr>
      <w:i/>
      <w:iCs/>
      <w:color w:val="404040" w:themeColor="text1" w:themeTint="BF"/>
    </w:rPr>
  </w:style>
  <w:style w:type="character" w:customStyle="1" w:styleId="QuoteChar">
    <w:name w:val="Quote Char"/>
    <w:basedOn w:val="DefaultParagraphFont"/>
    <w:link w:val="Quote"/>
    <w:uiPriority w:val="29"/>
    <w:rsid w:val="00E57424"/>
    <w:rPr>
      <w:i/>
      <w:iCs/>
      <w:color w:val="404040" w:themeColor="text1" w:themeTint="BF"/>
    </w:rPr>
  </w:style>
  <w:style w:type="paragraph" w:styleId="ListParagraph">
    <w:name w:val="List Paragraph"/>
    <w:basedOn w:val="Normal"/>
    <w:uiPriority w:val="34"/>
    <w:qFormat/>
    <w:rsid w:val="00E57424"/>
    <w:pPr>
      <w:ind w:left="720"/>
      <w:contextualSpacing/>
    </w:pPr>
  </w:style>
  <w:style w:type="character" w:styleId="IntenseEmphasis">
    <w:name w:val="Intense Emphasis"/>
    <w:basedOn w:val="DefaultParagraphFont"/>
    <w:uiPriority w:val="21"/>
    <w:qFormat/>
    <w:rsid w:val="00E57424"/>
    <w:rPr>
      <w:i/>
      <w:iCs/>
      <w:color w:val="0F4761" w:themeColor="accent1" w:themeShade="BF"/>
    </w:rPr>
  </w:style>
  <w:style w:type="paragraph" w:styleId="IntenseQuote">
    <w:name w:val="Intense Quote"/>
    <w:basedOn w:val="Normal"/>
    <w:next w:val="Normal"/>
    <w:link w:val="IntenseQuoteChar"/>
    <w:uiPriority w:val="30"/>
    <w:qFormat/>
    <w:rsid w:val="00E57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424"/>
    <w:rPr>
      <w:i/>
      <w:iCs/>
      <w:color w:val="0F4761" w:themeColor="accent1" w:themeShade="BF"/>
    </w:rPr>
  </w:style>
  <w:style w:type="character" w:styleId="IntenseReference">
    <w:name w:val="Intense Reference"/>
    <w:basedOn w:val="DefaultParagraphFont"/>
    <w:uiPriority w:val="32"/>
    <w:qFormat/>
    <w:rsid w:val="00E574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59812-E582-4980-8DD7-9AFEB00DF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20</Pages>
  <Words>3210</Words>
  <Characters>18300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Mawuli</dc:creator>
  <cp:keywords/>
  <dc:description/>
  <cp:lastModifiedBy>Stanley Mawuli</cp:lastModifiedBy>
  <cp:revision>1</cp:revision>
  <dcterms:created xsi:type="dcterms:W3CDTF">2026-04-24T17:13:00Z</dcterms:created>
  <dcterms:modified xsi:type="dcterms:W3CDTF">2026-04-24T20:44:00Z</dcterms:modified>
</cp:coreProperties>
</file>